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DD6C0">
      <w:pPr>
        <w:pStyle w:val="11"/>
        <w:spacing w:line="480" w:lineRule="auto"/>
        <w:ind w:left="0"/>
        <w:jc w:val="center"/>
        <w:rPr>
          <w:rFonts w:hint="eastAsia" w:ascii="仿宋" w:hAnsi="仿宋" w:eastAsia="仿宋" w:cs="仿宋"/>
          <w:color w:val="auto"/>
          <w:sz w:val="15"/>
          <w:szCs w:val="15"/>
          <w:highlight w:val="none"/>
        </w:rPr>
      </w:pPr>
    </w:p>
    <w:p w14:paraId="236251B8">
      <w:pPr>
        <w:pStyle w:val="4"/>
        <w:keepNext w:val="0"/>
        <w:keepLines w:val="0"/>
        <w:widowControl/>
        <w:suppressLineNumbers w:val="0"/>
        <w:spacing w:before="0" w:beforeAutospacing="0" w:after="0" w:afterAutospacing="0" w:line="192" w:lineRule="atLeast"/>
        <w:ind w:left="0" w:right="0"/>
        <w:jc w:val="center"/>
        <w:rPr>
          <w:rFonts w:hint="eastAsia" w:ascii="仿宋" w:hAnsi="仿宋" w:eastAsia="仿宋" w:cs="仿宋"/>
          <w:b w:val="0"/>
          <w:color w:val="auto"/>
          <w:kern w:val="2"/>
          <w:sz w:val="36"/>
          <w:szCs w:val="36"/>
          <w:highlight w:val="none"/>
          <w:lang w:val="en-US" w:eastAsia="zh-CN" w:bidi="ar-SA"/>
        </w:rPr>
      </w:pPr>
    </w:p>
    <w:p w14:paraId="2AE99350">
      <w:pPr>
        <w:adjustRightInd w:val="0"/>
        <w:jc w:val="center"/>
        <w:rPr>
          <w:rFonts w:hint="eastAsia" w:ascii="仿宋" w:hAnsi="仿宋" w:eastAsia="仿宋" w:cs="仿宋"/>
          <w:b/>
          <w:color w:val="auto"/>
          <w:sz w:val="72"/>
          <w:szCs w:val="72"/>
          <w:highlight w:val="none"/>
        </w:rPr>
      </w:pPr>
      <w:r>
        <w:rPr>
          <w:rFonts w:hint="eastAsia" w:ascii="仿宋" w:hAnsi="仿宋" w:eastAsia="仿宋" w:cs="仿宋"/>
          <w:color w:val="auto"/>
          <w:spacing w:val="80"/>
          <w:sz w:val="112"/>
          <w:szCs w:val="112"/>
          <w:highlight w:val="none"/>
        </w:rPr>
        <w:drawing>
          <wp:inline distT="0" distB="0" distL="114300" distR="114300">
            <wp:extent cx="2023745" cy="1744345"/>
            <wp:effectExtent l="0" t="0" r="3175" b="8255"/>
            <wp:docPr id="7" name="图片 4" descr="聚创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聚创LOGO"/>
                    <pic:cNvPicPr>
                      <a:picLocks noChangeAspect="1"/>
                    </pic:cNvPicPr>
                  </pic:nvPicPr>
                  <pic:blipFill>
                    <a:blip r:embed="rId11"/>
                    <a:stretch>
                      <a:fillRect/>
                    </a:stretch>
                  </pic:blipFill>
                  <pic:spPr>
                    <a:xfrm>
                      <a:off x="0" y="0"/>
                      <a:ext cx="2023745" cy="1744345"/>
                    </a:xfrm>
                    <a:prstGeom prst="rect">
                      <a:avLst/>
                    </a:prstGeom>
                    <a:noFill/>
                    <a:ln>
                      <a:noFill/>
                    </a:ln>
                  </pic:spPr>
                </pic:pic>
              </a:graphicData>
            </a:graphic>
          </wp:inline>
        </w:drawing>
      </w:r>
    </w:p>
    <w:p w14:paraId="4CB2BB36">
      <w:pPr>
        <w:adjustRightInd w:val="0"/>
        <w:jc w:val="center"/>
        <w:rPr>
          <w:rFonts w:hint="eastAsia" w:ascii="仿宋" w:hAnsi="仿宋" w:eastAsia="仿宋" w:cs="仿宋"/>
          <w:b/>
          <w:color w:val="auto"/>
          <w:sz w:val="96"/>
          <w:szCs w:val="96"/>
          <w:highlight w:val="none"/>
        </w:rPr>
      </w:pPr>
    </w:p>
    <w:p w14:paraId="04282D48">
      <w:pPr>
        <w:adjustRightInd w:val="0"/>
        <w:jc w:val="center"/>
        <w:rPr>
          <w:rFonts w:hint="eastAsia" w:ascii="仿宋" w:hAnsi="仿宋" w:eastAsia="仿宋" w:cs="仿宋"/>
          <w:b/>
          <w:color w:val="auto"/>
          <w:sz w:val="96"/>
          <w:szCs w:val="96"/>
          <w:highlight w:val="none"/>
        </w:rPr>
      </w:pPr>
      <w:r>
        <w:rPr>
          <w:rFonts w:hint="eastAsia" w:ascii="仿宋" w:hAnsi="仿宋" w:eastAsia="仿宋" w:cs="仿宋"/>
          <w:b/>
          <w:color w:val="auto"/>
          <w:sz w:val="96"/>
          <w:szCs w:val="96"/>
          <w:highlight w:val="none"/>
        </w:rPr>
        <w:t>竞争性比选文件</w:t>
      </w:r>
    </w:p>
    <w:p w14:paraId="796B852E">
      <w:pPr>
        <w:adjustRightInd w:val="0"/>
        <w:jc w:val="center"/>
        <w:rPr>
          <w:rFonts w:hint="eastAsia" w:ascii="仿宋" w:hAnsi="仿宋" w:eastAsia="仿宋" w:cs="仿宋"/>
          <w:b/>
          <w:color w:val="auto"/>
          <w:sz w:val="72"/>
          <w:szCs w:val="72"/>
          <w:highlight w:val="none"/>
        </w:rPr>
      </w:pPr>
    </w:p>
    <w:p w14:paraId="6AF76C52">
      <w:pPr>
        <w:pStyle w:val="4"/>
        <w:jc w:val="both"/>
        <w:rPr>
          <w:rFonts w:hint="eastAsia" w:ascii="仿宋" w:hAnsi="仿宋" w:eastAsia="仿宋" w:cs="仿宋"/>
          <w:color w:val="auto"/>
          <w:highlight w:val="none"/>
        </w:rPr>
      </w:pPr>
    </w:p>
    <w:p w14:paraId="1CE76490">
      <w:pPr>
        <w:spacing w:line="700" w:lineRule="exact"/>
        <w:ind w:firstLine="2249" w:firstLineChars="7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eastAsia="zh-CN"/>
        </w:rPr>
        <w:t>采购执行编号</w:t>
      </w: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val="en-US" w:eastAsia="zh-CN"/>
        </w:rPr>
        <w:t>JCZB26183</w:t>
      </w:r>
    </w:p>
    <w:p w14:paraId="64257B71">
      <w:pPr>
        <w:pStyle w:val="11"/>
        <w:spacing w:line="500" w:lineRule="exact"/>
        <w:ind w:left="0"/>
        <w:jc w:val="center"/>
        <w:rPr>
          <w:rFonts w:hint="eastAsia" w:ascii="仿宋" w:hAnsi="仿宋" w:eastAsia="仿宋" w:cs="仿宋"/>
          <w:b/>
          <w:bCs/>
          <w:color w:val="auto"/>
          <w:sz w:val="32"/>
          <w:highlight w:val="none"/>
          <w:lang w:eastAsia="zh-CN"/>
        </w:rPr>
      </w:pPr>
    </w:p>
    <w:p w14:paraId="70F0A35C">
      <w:pPr>
        <w:pStyle w:val="11"/>
        <w:spacing w:line="500" w:lineRule="exact"/>
        <w:ind w:left="0"/>
        <w:jc w:val="center"/>
        <w:rPr>
          <w:rFonts w:hint="eastAsia" w:ascii="仿宋" w:hAnsi="仿宋" w:eastAsia="仿宋" w:cs="仿宋"/>
          <w:b/>
          <w:bCs/>
          <w:color w:val="auto"/>
          <w:kern w:val="2"/>
          <w:sz w:val="32"/>
          <w:szCs w:val="22"/>
          <w:highlight w:val="none"/>
          <w:lang w:val="en-US" w:eastAsia="zh-CN" w:bidi="ar-SA"/>
        </w:rPr>
      </w:pPr>
      <w:r>
        <w:rPr>
          <w:rFonts w:hint="eastAsia" w:ascii="仿宋" w:hAnsi="仿宋" w:eastAsia="仿宋" w:cs="仿宋"/>
          <w:b/>
          <w:bCs/>
          <w:color w:val="auto"/>
          <w:kern w:val="2"/>
          <w:sz w:val="32"/>
          <w:szCs w:val="22"/>
          <w:highlight w:val="none"/>
          <w:lang w:val="en-US" w:eastAsia="zh-CN" w:bidi="ar-SA"/>
        </w:rPr>
        <w:t>项目名称：物业公众责任险及附加险采购</w:t>
      </w:r>
    </w:p>
    <w:p w14:paraId="39901B57">
      <w:pPr>
        <w:pStyle w:val="11"/>
        <w:spacing w:line="500" w:lineRule="exact"/>
        <w:ind w:left="0"/>
        <w:rPr>
          <w:rFonts w:hint="eastAsia" w:ascii="仿宋" w:hAnsi="仿宋" w:eastAsia="仿宋" w:cs="仿宋"/>
          <w:color w:val="auto"/>
          <w:sz w:val="32"/>
          <w:highlight w:val="none"/>
        </w:rPr>
      </w:pPr>
    </w:p>
    <w:p w14:paraId="132E7DC8">
      <w:pPr>
        <w:spacing w:line="500" w:lineRule="exact"/>
        <w:jc w:val="center"/>
        <w:rPr>
          <w:rFonts w:hint="eastAsia" w:ascii="仿宋" w:hAnsi="仿宋" w:eastAsia="仿宋" w:cs="仿宋"/>
          <w:color w:val="auto"/>
          <w:sz w:val="32"/>
          <w:highlight w:val="none"/>
        </w:rPr>
      </w:pPr>
    </w:p>
    <w:p w14:paraId="1B220EF2">
      <w:pPr>
        <w:spacing w:line="500" w:lineRule="exact"/>
        <w:jc w:val="center"/>
        <w:outlineLvl w:val="0"/>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rPr>
        <w:t>采购人：</w:t>
      </w:r>
      <w:r>
        <w:rPr>
          <w:rFonts w:hint="eastAsia" w:ascii="仿宋" w:hAnsi="仿宋" w:eastAsia="仿宋" w:cs="仿宋"/>
          <w:b/>
          <w:bCs/>
          <w:color w:val="auto"/>
          <w:sz w:val="36"/>
          <w:szCs w:val="36"/>
          <w:highlight w:val="none"/>
          <w:lang w:eastAsia="zh-CN"/>
        </w:rPr>
        <w:t>重庆市子漫人力资源服务有限公司、</w:t>
      </w:r>
    </w:p>
    <w:p w14:paraId="7D78A90C">
      <w:pPr>
        <w:spacing w:line="500" w:lineRule="exact"/>
        <w:jc w:val="center"/>
        <w:outlineLvl w:val="0"/>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eastAsia="zh-CN"/>
        </w:rPr>
        <w:t>重庆市子漫人力资源服务有限公司伊顿物业分公司</w:t>
      </w:r>
    </w:p>
    <w:p w14:paraId="1E7789A4">
      <w:pPr>
        <w:snapToGrid w:val="0"/>
        <w:spacing w:line="500" w:lineRule="exact"/>
        <w:ind w:firstLine="1446" w:firstLineChars="400"/>
        <w:rPr>
          <w:rFonts w:hint="eastAsia" w:ascii="仿宋" w:hAnsi="仿宋" w:eastAsia="仿宋" w:cs="仿宋"/>
          <w:color w:val="auto"/>
          <w:sz w:val="36"/>
          <w:highlight w:val="none"/>
        </w:rPr>
      </w:pPr>
      <w:r>
        <w:rPr>
          <w:rFonts w:hint="eastAsia" w:ascii="仿宋" w:hAnsi="仿宋" w:eastAsia="仿宋" w:cs="仿宋"/>
          <w:b/>
          <w:bCs/>
          <w:color w:val="auto"/>
          <w:sz w:val="36"/>
          <w:szCs w:val="36"/>
          <w:highlight w:val="none"/>
        </w:rPr>
        <w:t>采购代理机构：</w:t>
      </w:r>
      <w:r>
        <w:rPr>
          <w:rFonts w:hint="eastAsia" w:ascii="仿宋" w:hAnsi="仿宋" w:eastAsia="仿宋" w:cs="仿宋"/>
          <w:b/>
          <w:bCs/>
          <w:color w:val="auto"/>
          <w:sz w:val="36"/>
          <w:szCs w:val="36"/>
          <w:highlight w:val="none"/>
          <w:lang w:eastAsia="zh-CN"/>
        </w:rPr>
        <w:t>重庆市聚创招标代理有限公司</w:t>
      </w:r>
    </w:p>
    <w:p w14:paraId="279EBE95">
      <w:pPr>
        <w:snapToGrid w:val="0"/>
        <w:spacing w:line="500" w:lineRule="exact"/>
        <w:jc w:val="center"/>
        <w:rPr>
          <w:rFonts w:hint="eastAsia" w:ascii="仿宋" w:hAnsi="仿宋" w:eastAsia="仿宋" w:cs="仿宋"/>
          <w:color w:val="auto"/>
          <w:sz w:val="44"/>
          <w:highlight w:val="none"/>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r>
        <w:rPr>
          <w:rFonts w:hint="eastAsia" w:ascii="仿宋" w:hAnsi="仿宋" w:eastAsia="仿宋" w:cs="仿宋"/>
          <w:b/>
          <w:bCs/>
          <w:color w:val="auto"/>
          <w:sz w:val="36"/>
          <w:highlight w:val="none"/>
        </w:rPr>
        <w:t>二〇二</w:t>
      </w:r>
      <w:r>
        <w:rPr>
          <w:rFonts w:hint="eastAsia" w:ascii="仿宋" w:hAnsi="仿宋" w:eastAsia="仿宋" w:cs="仿宋"/>
          <w:b/>
          <w:bCs/>
          <w:color w:val="auto"/>
          <w:sz w:val="36"/>
          <w:highlight w:val="none"/>
          <w:lang w:val="en-US" w:eastAsia="zh-CN"/>
        </w:rPr>
        <w:t>六</w:t>
      </w:r>
      <w:r>
        <w:rPr>
          <w:rFonts w:hint="eastAsia" w:ascii="仿宋" w:hAnsi="仿宋" w:eastAsia="仿宋" w:cs="仿宋"/>
          <w:b/>
          <w:bCs/>
          <w:color w:val="auto"/>
          <w:sz w:val="36"/>
          <w:highlight w:val="none"/>
        </w:rPr>
        <w:t>年</w:t>
      </w:r>
      <w:r>
        <w:rPr>
          <w:rFonts w:hint="eastAsia" w:ascii="仿宋" w:hAnsi="仿宋" w:eastAsia="仿宋" w:cs="仿宋"/>
          <w:b/>
          <w:bCs/>
          <w:color w:val="auto"/>
          <w:sz w:val="36"/>
          <w:highlight w:val="none"/>
          <w:lang w:val="en-US" w:eastAsia="zh-CN"/>
        </w:rPr>
        <w:t>九</w:t>
      </w:r>
      <w:r>
        <w:rPr>
          <w:rFonts w:hint="eastAsia" w:ascii="仿宋" w:hAnsi="仿宋" w:eastAsia="仿宋" w:cs="仿宋"/>
          <w:b/>
          <w:bCs/>
          <w:color w:val="auto"/>
          <w:sz w:val="36"/>
          <w:highlight w:val="none"/>
        </w:rPr>
        <w:t>月</w:t>
      </w:r>
    </w:p>
    <w:p w14:paraId="1499227B">
      <w:pPr>
        <w:jc w:val="center"/>
        <w:rPr>
          <w:rFonts w:hint="eastAsia" w:ascii="仿宋" w:hAnsi="仿宋" w:eastAsia="仿宋" w:cs="仿宋"/>
          <w:color w:val="auto"/>
          <w:sz w:val="44"/>
          <w:szCs w:val="44"/>
          <w:highlight w:val="none"/>
          <w:lang w:eastAsia="zh-CN"/>
        </w:rPr>
      </w:pPr>
    </w:p>
    <w:p w14:paraId="341112A3">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lang w:eastAsia="zh-CN"/>
        </w:rPr>
        <w:t>重庆市聚创招标代理有限公司</w:t>
      </w:r>
    </w:p>
    <w:p w14:paraId="25D4BFB9">
      <w:pPr>
        <w:jc w:val="center"/>
        <w:rPr>
          <w:rFonts w:hint="eastAsia" w:ascii="仿宋" w:hAnsi="仿宋" w:eastAsia="仿宋" w:cs="仿宋"/>
          <w:b/>
          <w:bCs/>
          <w:color w:val="auto"/>
          <w:spacing w:val="40"/>
          <w:sz w:val="52"/>
          <w:szCs w:val="56"/>
          <w:highlight w:val="none"/>
        </w:rPr>
      </w:pPr>
      <w:r>
        <w:rPr>
          <w:rFonts w:hint="eastAsia" w:ascii="仿宋" w:hAnsi="仿宋" w:eastAsia="仿宋" w:cs="仿宋"/>
          <w:color w:val="auto"/>
          <w:sz w:val="44"/>
          <w:szCs w:val="44"/>
          <w:highlight w:val="none"/>
        </w:rPr>
        <w:t>比选文件发售登记表</w:t>
      </w:r>
    </w:p>
    <w:tbl>
      <w:tblPr>
        <w:tblStyle w:val="24"/>
        <w:tblW w:w="893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1"/>
        <w:gridCol w:w="2391"/>
        <w:gridCol w:w="1596"/>
        <w:gridCol w:w="3039"/>
      </w:tblGrid>
      <w:tr w14:paraId="0DF492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911" w:type="dxa"/>
            <w:vAlign w:val="center"/>
          </w:tcPr>
          <w:p w14:paraId="15F9C3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项目号</w:t>
            </w:r>
          </w:p>
        </w:tc>
        <w:tc>
          <w:tcPr>
            <w:tcW w:w="2391" w:type="dxa"/>
            <w:vAlign w:val="center"/>
          </w:tcPr>
          <w:p w14:paraId="50ADDF2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596" w:type="dxa"/>
            <w:vAlign w:val="center"/>
          </w:tcPr>
          <w:p w14:paraId="52E64B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采购执行编号</w:t>
            </w:r>
          </w:p>
        </w:tc>
        <w:tc>
          <w:tcPr>
            <w:tcW w:w="3039" w:type="dxa"/>
            <w:vAlign w:val="center"/>
          </w:tcPr>
          <w:p w14:paraId="6D04A03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JCZB26183</w:t>
            </w:r>
          </w:p>
        </w:tc>
      </w:tr>
      <w:tr w14:paraId="2C61AB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911" w:type="dxa"/>
            <w:vAlign w:val="center"/>
          </w:tcPr>
          <w:p w14:paraId="39FCA1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项目名称</w:t>
            </w:r>
          </w:p>
        </w:tc>
        <w:tc>
          <w:tcPr>
            <w:tcW w:w="7026" w:type="dxa"/>
            <w:gridSpan w:val="3"/>
            <w:vAlign w:val="center"/>
          </w:tcPr>
          <w:p w14:paraId="5548DE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物业公众责任险及附加险采购</w:t>
            </w:r>
          </w:p>
        </w:tc>
      </w:tr>
      <w:tr w14:paraId="680DBF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jc w:val="center"/>
        </w:trPr>
        <w:tc>
          <w:tcPr>
            <w:tcW w:w="1911" w:type="dxa"/>
            <w:vAlign w:val="center"/>
          </w:tcPr>
          <w:p w14:paraId="227DFF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名称</w:t>
            </w:r>
          </w:p>
        </w:tc>
        <w:tc>
          <w:tcPr>
            <w:tcW w:w="7026" w:type="dxa"/>
            <w:gridSpan w:val="3"/>
            <w:vAlign w:val="bottom"/>
          </w:tcPr>
          <w:p w14:paraId="73781BF1">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公章）</w:t>
            </w:r>
          </w:p>
        </w:tc>
      </w:tr>
      <w:tr w14:paraId="0CAEA9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33B7CC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联系人</w:t>
            </w:r>
          </w:p>
        </w:tc>
        <w:tc>
          <w:tcPr>
            <w:tcW w:w="2391" w:type="dxa"/>
            <w:vAlign w:val="center"/>
          </w:tcPr>
          <w:p w14:paraId="118EE83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1596" w:type="dxa"/>
            <w:vAlign w:val="center"/>
          </w:tcPr>
          <w:p w14:paraId="4E7512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手机</w:t>
            </w:r>
          </w:p>
        </w:tc>
        <w:tc>
          <w:tcPr>
            <w:tcW w:w="3039" w:type="dxa"/>
            <w:vAlign w:val="center"/>
          </w:tcPr>
          <w:p w14:paraId="4F5FA25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0CD773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0E4BD1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办公电话</w:t>
            </w:r>
          </w:p>
        </w:tc>
        <w:tc>
          <w:tcPr>
            <w:tcW w:w="2391" w:type="dxa"/>
            <w:vAlign w:val="center"/>
          </w:tcPr>
          <w:p w14:paraId="40BBF6C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1596" w:type="dxa"/>
            <w:vAlign w:val="center"/>
          </w:tcPr>
          <w:p w14:paraId="4C71194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传真</w:t>
            </w:r>
          </w:p>
        </w:tc>
        <w:tc>
          <w:tcPr>
            <w:tcW w:w="3039" w:type="dxa"/>
            <w:vAlign w:val="center"/>
          </w:tcPr>
          <w:p w14:paraId="12E3A32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1B6B2A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64D0CDF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E-mail</w:t>
            </w:r>
          </w:p>
        </w:tc>
        <w:tc>
          <w:tcPr>
            <w:tcW w:w="7026" w:type="dxa"/>
            <w:gridSpan w:val="3"/>
            <w:vAlign w:val="center"/>
          </w:tcPr>
          <w:p w14:paraId="4CEB614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7326A2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59A069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单位地址</w:t>
            </w:r>
          </w:p>
        </w:tc>
        <w:tc>
          <w:tcPr>
            <w:tcW w:w="7026" w:type="dxa"/>
            <w:gridSpan w:val="3"/>
            <w:vAlign w:val="center"/>
          </w:tcPr>
          <w:p w14:paraId="717CE59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5B8AFC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911" w:type="dxa"/>
            <w:vAlign w:val="center"/>
          </w:tcPr>
          <w:p w14:paraId="268C90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分包号</w:t>
            </w:r>
          </w:p>
        </w:tc>
        <w:tc>
          <w:tcPr>
            <w:tcW w:w="7026" w:type="dxa"/>
            <w:gridSpan w:val="3"/>
            <w:vAlign w:val="center"/>
          </w:tcPr>
          <w:p w14:paraId="3028EAE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分包名称</w:t>
            </w:r>
          </w:p>
        </w:tc>
      </w:tr>
      <w:tr w14:paraId="4C1668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911" w:type="dxa"/>
            <w:vAlign w:val="center"/>
          </w:tcPr>
          <w:p w14:paraId="40FFD96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lang w:val="en-US" w:eastAsia="zh-CN"/>
              </w:rPr>
            </w:pPr>
          </w:p>
        </w:tc>
        <w:tc>
          <w:tcPr>
            <w:tcW w:w="7026" w:type="dxa"/>
            <w:gridSpan w:val="3"/>
            <w:vAlign w:val="center"/>
          </w:tcPr>
          <w:p w14:paraId="5883E3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7C9953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911" w:type="dxa"/>
            <w:vAlign w:val="center"/>
          </w:tcPr>
          <w:p w14:paraId="1FD5BEB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7026" w:type="dxa"/>
            <w:gridSpan w:val="3"/>
            <w:vAlign w:val="center"/>
          </w:tcPr>
          <w:p w14:paraId="1C0DC7D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0133A4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911" w:type="dxa"/>
            <w:vAlign w:val="center"/>
          </w:tcPr>
          <w:p w14:paraId="1B6C456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7026" w:type="dxa"/>
            <w:gridSpan w:val="3"/>
            <w:vAlign w:val="center"/>
          </w:tcPr>
          <w:p w14:paraId="216BA25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5B2CFF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911" w:type="dxa"/>
            <w:vAlign w:val="center"/>
          </w:tcPr>
          <w:p w14:paraId="41D1C4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c>
          <w:tcPr>
            <w:tcW w:w="7026" w:type="dxa"/>
            <w:gridSpan w:val="3"/>
            <w:vAlign w:val="center"/>
          </w:tcPr>
          <w:p w14:paraId="7025A7C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p>
        </w:tc>
      </w:tr>
      <w:tr w14:paraId="670434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937" w:type="dxa"/>
            <w:gridSpan w:val="4"/>
            <w:vAlign w:val="center"/>
          </w:tcPr>
          <w:p w14:paraId="5EDC539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购分包号为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的标书，共计</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元</w:t>
            </w:r>
          </w:p>
        </w:tc>
      </w:tr>
    </w:tbl>
    <w:p w14:paraId="1402FE43">
      <w:pPr>
        <w:rPr>
          <w:rFonts w:hint="eastAsia" w:ascii="仿宋" w:hAnsi="仿宋" w:eastAsia="仿宋" w:cs="仿宋"/>
          <w:color w:val="auto"/>
          <w:sz w:val="24"/>
          <w:highlight w:val="none"/>
        </w:rPr>
      </w:pPr>
    </w:p>
    <w:p w14:paraId="0B81437A">
      <w:pPr>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购买人：                       日期：</w:t>
      </w:r>
    </w:p>
    <w:p w14:paraId="7C5DBAED">
      <w:pPr>
        <w:rPr>
          <w:rFonts w:hint="eastAsia" w:ascii="仿宋" w:hAnsi="仿宋" w:eastAsia="仿宋" w:cs="仿宋"/>
          <w:color w:val="auto"/>
          <w:sz w:val="44"/>
          <w:highlight w:val="none"/>
        </w:rPr>
      </w:pPr>
      <w:r>
        <w:rPr>
          <w:rFonts w:hint="eastAsia" w:ascii="仿宋" w:hAnsi="仿宋" w:eastAsia="仿宋" w:cs="仿宋"/>
          <w:color w:val="auto"/>
          <w:sz w:val="44"/>
          <w:highlight w:val="none"/>
        </w:rPr>
        <w:br w:type="page"/>
      </w:r>
    </w:p>
    <w:p w14:paraId="7DF93DA7">
      <w:pPr>
        <w:snapToGrid w:val="0"/>
        <w:spacing w:line="500" w:lineRule="exact"/>
        <w:jc w:val="center"/>
        <w:rPr>
          <w:rFonts w:hint="eastAsia" w:ascii="仿宋" w:hAnsi="仿宋" w:eastAsia="仿宋" w:cs="仿宋"/>
          <w:color w:val="auto"/>
          <w:sz w:val="44"/>
          <w:highlight w:val="none"/>
        </w:rPr>
      </w:pPr>
    </w:p>
    <w:p w14:paraId="5DB2234A">
      <w:pPr>
        <w:snapToGrid w:val="0"/>
        <w:spacing w:line="500" w:lineRule="exact"/>
        <w:jc w:val="center"/>
        <w:rPr>
          <w:rFonts w:hint="eastAsia" w:ascii="仿宋" w:hAnsi="仿宋" w:eastAsia="仿宋" w:cs="仿宋"/>
          <w:color w:val="auto"/>
          <w:sz w:val="44"/>
          <w:highlight w:val="none"/>
        </w:rPr>
      </w:pPr>
      <w:r>
        <w:rPr>
          <w:rFonts w:hint="eastAsia" w:ascii="仿宋" w:hAnsi="仿宋" w:eastAsia="仿宋" w:cs="仿宋"/>
          <w:color w:val="auto"/>
          <w:sz w:val="44"/>
          <w:highlight w:val="none"/>
        </w:rPr>
        <w:t>目  录</w:t>
      </w:r>
    </w:p>
    <w:p w14:paraId="4D468922">
      <w:pPr>
        <w:pStyle w:val="18"/>
        <w:tabs>
          <w:tab w:val="right" w:leader="dot" w:pos="9412"/>
          <w:tab w:val="clear" w:pos="1260"/>
          <w:tab w:val="clear" w:pos="1685"/>
          <w:tab w:val="clear" w:pos="8400"/>
        </w:tabs>
        <w:ind w:firstLine="240"/>
        <w:rPr>
          <w:rFonts w:hint="eastAsia" w:ascii="仿宋" w:hAnsi="仿宋" w:eastAsia="仿宋" w:cs="仿宋"/>
          <w:color w:val="auto"/>
          <w:sz w:val="24"/>
          <w:szCs w:val="24"/>
          <w:highlight w:val="none"/>
        </w:rPr>
      </w:pPr>
    </w:p>
    <w:p w14:paraId="04588FFD">
      <w:pPr>
        <w:pStyle w:val="18"/>
        <w:tabs>
          <w:tab w:val="right" w:leader="dot" w:pos="9639"/>
          <w:tab w:val="clear" w:pos="1260"/>
          <w:tab w:val="clear" w:pos="1685"/>
          <w:tab w:val="clear" w:pos="8400"/>
        </w:tabs>
      </w:pP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TOC \o "1-2" \h \z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_Toc426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 xml:space="preserve">第一篇  </w:t>
      </w:r>
      <w:r>
        <w:rPr>
          <w:rFonts w:hint="eastAsia" w:ascii="仿宋" w:hAnsi="仿宋" w:eastAsia="仿宋" w:cs="仿宋"/>
          <w:bCs/>
          <w:szCs w:val="44"/>
          <w:highlight w:val="none"/>
          <w:lang w:eastAsia="zh-CN"/>
        </w:rPr>
        <w:t>比选</w:t>
      </w:r>
      <w:r>
        <w:rPr>
          <w:rFonts w:hint="eastAsia" w:ascii="仿宋" w:hAnsi="仿宋" w:eastAsia="仿宋" w:cs="仿宋"/>
          <w:bCs/>
          <w:szCs w:val="44"/>
          <w:highlight w:val="none"/>
        </w:rPr>
        <w:t>邀请书</w:t>
      </w:r>
      <w:r>
        <w:tab/>
      </w:r>
      <w:r>
        <w:fldChar w:fldCharType="begin"/>
      </w:r>
      <w:r>
        <w:instrText xml:space="preserve"> PAGEREF _Toc426 \h </w:instrText>
      </w:r>
      <w:r>
        <w:fldChar w:fldCharType="separate"/>
      </w:r>
      <w:r>
        <w:t>- 5 -</w:t>
      </w:r>
      <w:r>
        <w:fldChar w:fldCharType="end"/>
      </w:r>
      <w:r>
        <w:rPr>
          <w:rFonts w:hint="eastAsia" w:ascii="仿宋" w:hAnsi="仿宋" w:eastAsia="仿宋" w:cs="仿宋"/>
          <w:color w:val="auto"/>
          <w:szCs w:val="24"/>
          <w:highlight w:val="none"/>
        </w:rPr>
        <w:fldChar w:fldCharType="end"/>
      </w:r>
    </w:p>
    <w:p w14:paraId="44A77746">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_Toc28219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w:t>
      </w:r>
      <w:r>
        <w:rPr>
          <w:rFonts w:hint="eastAsia" w:ascii="仿宋" w:hAnsi="仿宋" w:eastAsia="仿宋" w:cs="仿宋"/>
          <w:szCs w:val="24"/>
          <w:highlight w:val="none"/>
        </w:rPr>
        <w:t>比选内容</w:t>
      </w:r>
      <w:r>
        <w:tab/>
      </w:r>
      <w:r>
        <w:fldChar w:fldCharType="begin"/>
      </w:r>
      <w:r>
        <w:instrText xml:space="preserve"> PAGEREF _Toc28219 \h </w:instrText>
      </w:r>
      <w:r>
        <w:fldChar w:fldCharType="separate"/>
      </w:r>
      <w:r>
        <w:t>- 5 -</w:t>
      </w:r>
      <w:r>
        <w:fldChar w:fldCharType="end"/>
      </w:r>
      <w:r>
        <w:rPr>
          <w:rFonts w:hint="eastAsia" w:ascii="仿宋" w:hAnsi="仿宋" w:eastAsia="仿宋" w:cs="仿宋"/>
          <w:color w:val="auto"/>
          <w:szCs w:val="24"/>
          <w:highlight w:val="none"/>
        </w:rPr>
        <w:fldChar w:fldCharType="end"/>
      </w:r>
    </w:p>
    <w:p w14:paraId="42AF0E1C">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_Toc1082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二、资金来源</w:t>
      </w:r>
      <w:r>
        <w:tab/>
      </w:r>
      <w:r>
        <w:fldChar w:fldCharType="begin"/>
      </w:r>
      <w:r>
        <w:instrText xml:space="preserve"> PAGEREF _Toc1082 \h </w:instrText>
      </w:r>
      <w:r>
        <w:fldChar w:fldCharType="separate"/>
      </w:r>
      <w:r>
        <w:t>- 5 -</w:t>
      </w:r>
      <w:r>
        <w:fldChar w:fldCharType="end"/>
      </w:r>
      <w:r>
        <w:rPr>
          <w:rFonts w:hint="eastAsia" w:ascii="仿宋" w:hAnsi="仿宋" w:eastAsia="仿宋" w:cs="仿宋"/>
          <w:color w:val="auto"/>
          <w:szCs w:val="24"/>
          <w:highlight w:val="none"/>
        </w:rPr>
        <w:fldChar w:fldCharType="end"/>
      </w:r>
    </w:p>
    <w:p w14:paraId="721C7253">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_Toc13084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三、供应商资格条件</w:t>
      </w:r>
      <w:r>
        <w:tab/>
      </w:r>
      <w:r>
        <w:fldChar w:fldCharType="begin"/>
      </w:r>
      <w:r>
        <w:instrText xml:space="preserve"> PAGEREF _Toc13084 \h </w:instrText>
      </w:r>
      <w:r>
        <w:fldChar w:fldCharType="separate"/>
      </w:r>
      <w:r>
        <w:t>- 5 -</w:t>
      </w:r>
      <w:r>
        <w:fldChar w:fldCharType="end"/>
      </w:r>
      <w:r>
        <w:rPr>
          <w:rFonts w:hint="eastAsia" w:ascii="仿宋" w:hAnsi="仿宋" w:eastAsia="仿宋" w:cs="仿宋"/>
          <w:color w:val="auto"/>
          <w:szCs w:val="24"/>
          <w:highlight w:val="none"/>
        </w:rPr>
        <w:fldChar w:fldCharType="end"/>
      </w:r>
    </w:p>
    <w:p w14:paraId="55626D68">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_Toc2057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四、比选有关说明</w:t>
      </w:r>
      <w:r>
        <w:tab/>
      </w:r>
      <w:r>
        <w:fldChar w:fldCharType="begin"/>
      </w:r>
      <w:r>
        <w:instrText xml:space="preserve"> PAGEREF _Toc2057 \h </w:instrText>
      </w:r>
      <w:r>
        <w:fldChar w:fldCharType="separate"/>
      </w:r>
      <w:r>
        <w:t>- 5 -</w:t>
      </w:r>
      <w:r>
        <w:fldChar w:fldCharType="end"/>
      </w:r>
      <w:r>
        <w:rPr>
          <w:rFonts w:hint="eastAsia" w:ascii="仿宋" w:hAnsi="仿宋" w:eastAsia="仿宋" w:cs="仿宋"/>
          <w:color w:val="auto"/>
          <w:szCs w:val="24"/>
          <w:highlight w:val="none"/>
        </w:rPr>
        <w:fldChar w:fldCharType="end"/>
      </w:r>
    </w:p>
    <w:p w14:paraId="339E11F3">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_Toc2043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五、比选保证金</w:t>
      </w:r>
      <w:r>
        <w:tab/>
      </w:r>
      <w:r>
        <w:fldChar w:fldCharType="begin"/>
      </w:r>
      <w:r>
        <w:instrText xml:space="preserve"> PAGEREF _Toc2043 \h </w:instrText>
      </w:r>
      <w:r>
        <w:fldChar w:fldCharType="separate"/>
      </w:r>
      <w:r>
        <w:t>- 6 -</w:t>
      </w:r>
      <w:r>
        <w:fldChar w:fldCharType="end"/>
      </w:r>
      <w:r>
        <w:rPr>
          <w:rFonts w:hint="eastAsia" w:ascii="仿宋" w:hAnsi="仿宋" w:eastAsia="仿宋" w:cs="仿宋"/>
          <w:color w:val="auto"/>
          <w:szCs w:val="24"/>
          <w:highlight w:val="none"/>
        </w:rPr>
        <w:fldChar w:fldCharType="end"/>
      </w:r>
    </w:p>
    <w:p w14:paraId="3A87F032">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_Toc24999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六、其它有关规定</w:t>
      </w:r>
      <w:r>
        <w:tab/>
      </w:r>
      <w:r>
        <w:fldChar w:fldCharType="begin"/>
      </w:r>
      <w:r>
        <w:instrText xml:space="preserve"> PAGEREF _Toc24999 \h </w:instrText>
      </w:r>
      <w:r>
        <w:fldChar w:fldCharType="separate"/>
      </w:r>
      <w:r>
        <w:t>- 6 -</w:t>
      </w:r>
      <w:r>
        <w:fldChar w:fldCharType="end"/>
      </w:r>
      <w:r>
        <w:rPr>
          <w:rFonts w:hint="eastAsia" w:ascii="仿宋" w:hAnsi="仿宋" w:eastAsia="仿宋" w:cs="仿宋"/>
          <w:color w:val="auto"/>
          <w:szCs w:val="24"/>
          <w:highlight w:val="none"/>
        </w:rPr>
        <w:fldChar w:fldCharType="end"/>
      </w:r>
    </w:p>
    <w:p w14:paraId="13165D0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_Toc1801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七、联系方式</w:t>
      </w:r>
      <w:r>
        <w:tab/>
      </w:r>
      <w:r>
        <w:fldChar w:fldCharType="begin"/>
      </w:r>
      <w:r>
        <w:instrText xml:space="preserve"> PAGEREF _Toc1801 \h </w:instrText>
      </w:r>
      <w:r>
        <w:fldChar w:fldCharType="separate"/>
      </w:r>
      <w:r>
        <w:t>- 6 -</w:t>
      </w:r>
      <w:r>
        <w:fldChar w:fldCharType="end"/>
      </w:r>
      <w:r>
        <w:rPr>
          <w:rFonts w:hint="eastAsia" w:ascii="仿宋" w:hAnsi="仿宋" w:eastAsia="仿宋" w:cs="仿宋"/>
          <w:color w:val="auto"/>
          <w:szCs w:val="24"/>
          <w:highlight w:val="none"/>
        </w:rPr>
        <w:fldChar w:fldCharType="end"/>
      </w:r>
    </w:p>
    <w:p w14:paraId="675FB181">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_Toc735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第二篇  项目</w:t>
      </w:r>
      <w:r>
        <w:rPr>
          <w:rFonts w:hint="eastAsia" w:ascii="仿宋" w:hAnsi="仿宋" w:eastAsia="仿宋" w:cs="仿宋"/>
          <w:bCs/>
          <w:szCs w:val="44"/>
          <w:highlight w:val="none"/>
          <w:lang w:val="en-US" w:eastAsia="zh-CN"/>
        </w:rPr>
        <w:t>服务</w:t>
      </w:r>
      <w:r>
        <w:rPr>
          <w:rFonts w:hint="eastAsia" w:ascii="仿宋" w:hAnsi="仿宋" w:eastAsia="仿宋" w:cs="仿宋"/>
          <w:bCs/>
          <w:szCs w:val="44"/>
          <w:highlight w:val="none"/>
        </w:rPr>
        <w:t>需求</w:t>
      </w:r>
      <w:r>
        <w:tab/>
      </w:r>
      <w:r>
        <w:fldChar w:fldCharType="begin"/>
      </w:r>
      <w:r>
        <w:instrText xml:space="preserve"> PAGEREF _Toc735 \h </w:instrText>
      </w:r>
      <w:r>
        <w:fldChar w:fldCharType="separate"/>
      </w:r>
      <w:r>
        <w:t>- 8 -</w:t>
      </w:r>
      <w:r>
        <w:fldChar w:fldCharType="end"/>
      </w:r>
      <w:r>
        <w:rPr>
          <w:rFonts w:hint="eastAsia" w:ascii="仿宋" w:hAnsi="仿宋" w:eastAsia="仿宋" w:cs="仿宋"/>
          <w:color w:val="auto"/>
          <w:szCs w:val="24"/>
          <w:highlight w:val="none"/>
        </w:rPr>
        <w:fldChar w:fldCharType="end"/>
      </w:r>
    </w:p>
    <w:p w14:paraId="6E8CC4CA">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_Toc477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一、项目一览表</w:t>
      </w:r>
      <w:r>
        <w:tab/>
      </w:r>
      <w:r>
        <w:fldChar w:fldCharType="begin"/>
      </w:r>
      <w:r>
        <w:instrText xml:space="preserve"> PAGEREF _Toc477 \h </w:instrText>
      </w:r>
      <w:r>
        <w:fldChar w:fldCharType="separate"/>
      </w:r>
      <w:r>
        <w:t>- 8 -</w:t>
      </w:r>
      <w:r>
        <w:fldChar w:fldCharType="end"/>
      </w:r>
      <w:r>
        <w:rPr>
          <w:rFonts w:hint="eastAsia" w:ascii="仿宋" w:hAnsi="仿宋" w:eastAsia="仿宋" w:cs="仿宋"/>
          <w:color w:val="auto"/>
          <w:szCs w:val="24"/>
          <w:highlight w:val="none"/>
        </w:rPr>
        <w:fldChar w:fldCharType="end"/>
      </w:r>
    </w:p>
    <w:p w14:paraId="0A75AED6">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_Toc18965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二、项目服务内容及要求</w:t>
      </w:r>
      <w:r>
        <w:tab/>
      </w:r>
      <w:r>
        <w:fldChar w:fldCharType="begin"/>
      </w:r>
      <w:r>
        <w:instrText xml:space="preserve"> PAGEREF _Toc18965 \h </w:instrText>
      </w:r>
      <w:r>
        <w:fldChar w:fldCharType="separate"/>
      </w:r>
      <w:r>
        <w:t>- 8 -</w:t>
      </w:r>
      <w:r>
        <w:fldChar w:fldCharType="end"/>
      </w:r>
      <w:r>
        <w:rPr>
          <w:rFonts w:hint="eastAsia" w:ascii="仿宋" w:hAnsi="仿宋" w:eastAsia="仿宋" w:cs="仿宋"/>
          <w:color w:val="auto"/>
          <w:szCs w:val="24"/>
          <w:highlight w:val="none"/>
        </w:rPr>
        <w:fldChar w:fldCharType="end"/>
      </w:r>
    </w:p>
    <w:p w14:paraId="07DB884A">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_Toc3015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第三篇 项目商务需求</w:t>
      </w:r>
      <w:r>
        <w:tab/>
      </w:r>
      <w:r>
        <w:fldChar w:fldCharType="begin"/>
      </w:r>
      <w:r>
        <w:instrText xml:space="preserve"> PAGEREF _Toc3015 \h </w:instrText>
      </w:r>
      <w:r>
        <w:fldChar w:fldCharType="separate"/>
      </w:r>
      <w:r>
        <w:t>- 14 -</w:t>
      </w:r>
      <w:r>
        <w:fldChar w:fldCharType="end"/>
      </w:r>
      <w:r>
        <w:rPr>
          <w:rFonts w:hint="eastAsia" w:ascii="仿宋" w:hAnsi="仿宋" w:eastAsia="仿宋" w:cs="仿宋"/>
          <w:color w:val="auto"/>
          <w:szCs w:val="24"/>
          <w:highlight w:val="none"/>
        </w:rPr>
        <w:fldChar w:fldCharType="end"/>
      </w:r>
    </w:p>
    <w:p w14:paraId="763C2B1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_Toc31185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一、服务时间、地点及验收方式</w:t>
      </w:r>
      <w:r>
        <w:tab/>
      </w:r>
      <w:r>
        <w:fldChar w:fldCharType="begin"/>
      </w:r>
      <w:r>
        <w:instrText xml:space="preserve"> PAGEREF _Toc31185 \h </w:instrText>
      </w:r>
      <w:r>
        <w:fldChar w:fldCharType="separate"/>
      </w:r>
      <w:r>
        <w:t>- 14 -</w:t>
      </w:r>
      <w:r>
        <w:fldChar w:fldCharType="end"/>
      </w:r>
      <w:r>
        <w:rPr>
          <w:rFonts w:hint="eastAsia" w:ascii="仿宋" w:hAnsi="仿宋" w:eastAsia="仿宋" w:cs="仿宋"/>
          <w:color w:val="auto"/>
          <w:szCs w:val="24"/>
          <w:highlight w:val="none"/>
        </w:rPr>
        <w:fldChar w:fldCharType="end"/>
      </w:r>
    </w:p>
    <w:p w14:paraId="3A7F3C2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_Toc20419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二、质量保证及售后服务</w:t>
      </w:r>
      <w:r>
        <w:tab/>
      </w:r>
      <w:r>
        <w:fldChar w:fldCharType="begin"/>
      </w:r>
      <w:r>
        <w:instrText xml:space="preserve"> PAGEREF _Toc20419 \h </w:instrText>
      </w:r>
      <w:r>
        <w:fldChar w:fldCharType="separate"/>
      </w:r>
      <w:r>
        <w:t>- 14 -</w:t>
      </w:r>
      <w:r>
        <w:fldChar w:fldCharType="end"/>
      </w:r>
      <w:r>
        <w:rPr>
          <w:rFonts w:hint="eastAsia" w:ascii="仿宋" w:hAnsi="仿宋" w:eastAsia="仿宋" w:cs="仿宋"/>
          <w:color w:val="auto"/>
          <w:szCs w:val="24"/>
          <w:highlight w:val="none"/>
        </w:rPr>
        <w:fldChar w:fldCharType="end"/>
      </w:r>
    </w:p>
    <w:p w14:paraId="1CF06CB6">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_Toc363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三、报价要求</w:t>
      </w:r>
      <w:r>
        <w:tab/>
      </w:r>
      <w:r>
        <w:fldChar w:fldCharType="begin"/>
      </w:r>
      <w:r>
        <w:instrText xml:space="preserve"> PAGEREF _Toc363 \h </w:instrText>
      </w:r>
      <w:r>
        <w:fldChar w:fldCharType="separate"/>
      </w:r>
      <w:r>
        <w:t>- 14 -</w:t>
      </w:r>
      <w:r>
        <w:fldChar w:fldCharType="end"/>
      </w:r>
      <w:r>
        <w:rPr>
          <w:rFonts w:hint="eastAsia" w:ascii="仿宋" w:hAnsi="仿宋" w:eastAsia="仿宋" w:cs="仿宋"/>
          <w:color w:val="auto"/>
          <w:szCs w:val="24"/>
          <w:highlight w:val="none"/>
        </w:rPr>
        <w:fldChar w:fldCharType="end"/>
      </w:r>
    </w:p>
    <w:p w14:paraId="505BB7D0">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_Toc22252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四、付款方式</w:t>
      </w:r>
      <w:r>
        <w:tab/>
      </w:r>
      <w:r>
        <w:fldChar w:fldCharType="begin"/>
      </w:r>
      <w:r>
        <w:instrText xml:space="preserve"> PAGEREF _Toc22252 \h </w:instrText>
      </w:r>
      <w:r>
        <w:fldChar w:fldCharType="separate"/>
      </w:r>
      <w:r>
        <w:t>- 14 -</w:t>
      </w:r>
      <w:r>
        <w:fldChar w:fldCharType="end"/>
      </w:r>
      <w:r>
        <w:rPr>
          <w:rFonts w:hint="eastAsia" w:ascii="仿宋" w:hAnsi="仿宋" w:eastAsia="仿宋" w:cs="仿宋"/>
          <w:color w:val="auto"/>
          <w:szCs w:val="24"/>
          <w:highlight w:val="none"/>
        </w:rPr>
        <w:fldChar w:fldCharType="end"/>
      </w:r>
    </w:p>
    <w:p w14:paraId="31691868">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_Toc18473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五、履约保证金</w:t>
      </w:r>
      <w:r>
        <w:tab/>
      </w:r>
      <w:r>
        <w:fldChar w:fldCharType="begin"/>
      </w:r>
      <w:r>
        <w:instrText xml:space="preserve"> PAGEREF _Toc18473 \h </w:instrText>
      </w:r>
      <w:r>
        <w:fldChar w:fldCharType="separate"/>
      </w:r>
      <w:r>
        <w:t>- 15 -</w:t>
      </w:r>
      <w:r>
        <w:fldChar w:fldCharType="end"/>
      </w:r>
      <w:r>
        <w:rPr>
          <w:rFonts w:hint="eastAsia" w:ascii="仿宋" w:hAnsi="仿宋" w:eastAsia="仿宋" w:cs="仿宋"/>
          <w:color w:val="auto"/>
          <w:szCs w:val="24"/>
          <w:highlight w:val="none"/>
        </w:rPr>
        <w:fldChar w:fldCharType="end"/>
      </w:r>
    </w:p>
    <w:p w14:paraId="0C93890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_Toc19363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六、其他</w:t>
      </w:r>
      <w:r>
        <w:tab/>
      </w:r>
      <w:r>
        <w:fldChar w:fldCharType="begin"/>
      </w:r>
      <w:r>
        <w:instrText xml:space="preserve"> PAGEREF _Toc19363 \h </w:instrText>
      </w:r>
      <w:r>
        <w:fldChar w:fldCharType="separate"/>
      </w:r>
      <w:r>
        <w:t>- 15 -</w:t>
      </w:r>
      <w:r>
        <w:fldChar w:fldCharType="end"/>
      </w:r>
      <w:r>
        <w:rPr>
          <w:rFonts w:hint="eastAsia" w:ascii="仿宋" w:hAnsi="仿宋" w:eastAsia="仿宋" w:cs="仿宋"/>
          <w:color w:val="auto"/>
          <w:szCs w:val="24"/>
          <w:highlight w:val="none"/>
        </w:rPr>
        <w:fldChar w:fldCharType="end"/>
      </w:r>
    </w:p>
    <w:p w14:paraId="0E9C03D7">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_Toc30296 </w:instrText>
      </w:r>
      <w:r>
        <w:rPr>
          <w:rFonts w:hint="eastAsia" w:ascii="仿宋" w:hAnsi="仿宋" w:eastAsia="仿宋" w:cs="仿宋"/>
          <w:szCs w:val="24"/>
          <w:highlight w:val="none"/>
        </w:rPr>
        <w:fldChar w:fldCharType="separate"/>
      </w:r>
      <w:r>
        <w:rPr>
          <w:rFonts w:hint="eastAsia" w:ascii="仿宋" w:hAnsi="仿宋" w:eastAsia="仿宋" w:cs="仿宋"/>
          <w:bCs/>
          <w:szCs w:val="44"/>
        </w:rPr>
        <w:t xml:space="preserve">第四篇 </w:t>
      </w:r>
      <w:r>
        <w:rPr>
          <w:rFonts w:hint="eastAsia" w:ascii="仿宋" w:hAnsi="仿宋" w:eastAsia="仿宋" w:cs="仿宋"/>
          <w:bCs/>
          <w:szCs w:val="44"/>
          <w:highlight w:val="none"/>
        </w:rPr>
        <w:t>比选程序及方法、评审标准、无效响应和采购终止</w:t>
      </w:r>
      <w:r>
        <w:tab/>
      </w:r>
      <w:r>
        <w:fldChar w:fldCharType="begin"/>
      </w:r>
      <w:r>
        <w:instrText xml:space="preserve"> PAGEREF _Toc30296 \h </w:instrText>
      </w:r>
      <w:r>
        <w:fldChar w:fldCharType="separate"/>
      </w:r>
      <w:r>
        <w:t>- 16 -</w:t>
      </w:r>
      <w:r>
        <w:fldChar w:fldCharType="end"/>
      </w:r>
      <w:r>
        <w:rPr>
          <w:rFonts w:hint="eastAsia" w:ascii="仿宋" w:hAnsi="仿宋" w:eastAsia="仿宋" w:cs="仿宋"/>
          <w:color w:val="auto"/>
          <w:szCs w:val="24"/>
          <w:highlight w:val="none"/>
        </w:rPr>
        <w:fldChar w:fldCharType="end"/>
      </w:r>
    </w:p>
    <w:p w14:paraId="76157A9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_Toc26303 </w:instrText>
      </w:r>
      <w:r>
        <w:rPr>
          <w:rFonts w:hint="eastAsia" w:ascii="仿宋" w:hAnsi="仿宋" w:eastAsia="仿宋" w:cs="仿宋"/>
          <w:szCs w:val="24"/>
          <w:highlight w:val="none"/>
        </w:rPr>
        <w:fldChar w:fldCharType="separate"/>
      </w:r>
      <w:r>
        <w:rPr>
          <w:rFonts w:hint="eastAsia" w:ascii="仿宋" w:hAnsi="仿宋" w:eastAsia="仿宋" w:cs="仿宋"/>
          <w:bCs/>
          <w:szCs w:val="24"/>
          <w:highlight w:val="none"/>
          <w:lang w:val="en-US" w:eastAsia="zh-CN"/>
        </w:rPr>
        <w:t>一、比选程序及方法</w:t>
      </w:r>
      <w:r>
        <w:tab/>
      </w:r>
      <w:r>
        <w:fldChar w:fldCharType="begin"/>
      </w:r>
      <w:r>
        <w:instrText xml:space="preserve"> PAGEREF _Toc26303 \h </w:instrText>
      </w:r>
      <w:r>
        <w:fldChar w:fldCharType="separate"/>
      </w:r>
      <w:r>
        <w:t>- 16 -</w:t>
      </w:r>
      <w:r>
        <w:fldChar w:fldCharType="end"/>
      </w:r>
      <w:r>
        <w:rPr>
          <w:rFonts w:hint="eastAsia" w:ascii="仿宋" w:hAnsi="仿宋" w:eastAsia="仿宋" w:cs="仿宋"/>
          <w:color w:val="auto"/>
          <w:szCs w:val="24"/>
          <w:highlight w:val="none"/>
        </w:rPr>
        <w:fldChar w:fldCharType="end"/>
      </w:r>
    </w:p>
    <w:p w14:paraId="5B337176">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_Toc21542 </w:instrText>
      </w:r>
      <w:r>
        <w:rPr>
          <w:rFonts w:hint="eastAsia" w:ascii="仿宋" w:hAnsi="仿宋" w:eastAsia="仿宋" w:cs="仿宋"/>
          <w:szCs w:val="24"/>
          <w:highlight w:val="none"/>
        </w:rPr>
        <w:fldChar w:fldCharType="separate"/>
      </w:r>
      <w:r>
        <w:rPr>
          <w:rFonts w:hint="eastAsia" w:ascii="仿宋" w:hAnsi="仿宋" w:eastAsia="仿宋" w:cs="仿宋"/>
          <w:bCs/>
          <w:szCs w:val="24"/>
          <w:highlight w:val="none"/>
          <w:lang w:val="en-US" w:eastAsia="zh-CN"/>
        </w:rPr>
        <w:t>二、评审标准</w:t>
      </w:r>
      <w:r>
        <w:tab/>
      </w:r>
      <w:r>
        <w:fldChar w:fldCharType="begin"/>
      </w:r>
      <w:r>
        <w:instrText xml:space="preserve"> PAGEREF _Toc21542 \h </w:instrText>
      </w:r>
      <w:r>
        <w:fldChar w:fldCharType="separate"/>
      </w:r>
      <w:r>
        <w:t>- 18 -</w:t>
      </w:r>
      <w:r>
        <w:fldChar w:fldCharType="end"/>
      </w:r>
      <w:r>
        <w:rPr>
          <w:rFonts w:hint="eastAsia" w:ascii="仿宋" w:hAnsi="仿宋" w:eastAsia="仿宋" w:cs="仿宋"/>
          <w:color w:val="auto"/>
          <w:szCs w:val="24"/>
          <w:highlight w:val="none"/>
        </w:rPr>
        <w:fldChar w:fldCharType="end"/>
      </w:r>
    </w:p>
    <w:p w14:paraId="45062F8E">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_Toc24458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三、无效投标条款</w:t>
      </w:r>
      <w:r>
        <w:tab/>
      </w:r>
      <w:r>
        <w:fldChar w:fldCharType="begin"/>
      </w:r>
      <w:r>
        <w:instrText xml:space="preserve"> PAGEREF _Toc24458 \h </w:instrText>
      </w:r>
      <w:r>
        <w:fldChar w:fldCharType="separate"/>
      </w:r>
      <w:r>
        <w:t>- 20 -</w:t>
      </w:r>
      <w:r>
        <w:fldChar w:fldCharType="end"/>
      </w:r>
      <w:r>
        <w:rPr>
          <w:rFonts w:hint="eastAsia" w:ascii="仿宋" w:hAnsi="仿宋" w:eastAsia="仿宋" w:cs="仿宋"/>
          <w:color w:val="auto"/>
          <w:szCs w:val="24"/>
          <w:highlight w:val="none"/>
        </w:rPr>
        <w:fldChar w:fldCharType="end"/>
      </w:r>
    </w:p>
    <w:p w14:paraId="7E9D870D">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_Toc21572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四、废标条款</w:t>
      </w:r>
      <w:r>
        <w:tab/>
      </w:r>
      <w:r>
        <w:fldChar w:fldCharType="begin"/>
      </w:r>
      <w:r>
        <w:instrText xml:space="preserve"> PAGEREF _Toc21572 \h </w:instrText>
      </w:r>
      <w:r>
        <w:fldChar w:fldCharType="separate"/>
      </w:r>
      <w:r>
        <w:t>- 20 -</w:t>
      </w:r>
      <w:r>
        <w:fldChar w:fldCharType="end"/>
      </w:r>
      <w:r>
        <w:rPr>
          <w:rFonts w:hint="eastAsia" w:ascii="仿宋" w:hAnsi="仿宋" w:eastAsia="仿宋" w:cs="仿宋"/>
          <w:color w:val="auto"/>
          <w:szCs w:val="24"/>
          <w:highlight w:val="none"/>
        </w:rPr>
        <w:fldChar w:fldCharType="end"/>
      </w:r>
    </w:p>
    <w:p w14:paraId="05E15445">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_Toc15445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 xml:space="preserve">第五篇  </w:t>
      </w:r>
      <w:r>
        <w:rPr>
          <w:rFonts w:hint="eastAsia" w:ascii="仿宋" w:hAnsi="仿宋" w:eastAsia="仿宋" w:cs="仿宋"/>
          <w:bCs/>
          <w:szCs w:val="44"/>
          <w:highlight w:val="none"/>
          <w:lang w:eastAsia="zh-CN"/>
        </w:rPr>
        <w:t>供应商</w:t>
      </w:r>
      <w:r>
        <w:rPr>
          <w:rFonts w:hint="eastAsia" w:ascii="仿宋" w:hAnsi="仿宋" w:eastAsia="仿宋" w:cs="仿宋"/>
          <w:bCs/>
          <w:szCs w:val="44"/>
          <w:highlight w:val="none"/>
        </w:rPr>
        <w:t>须知</w:t>
      </w:r>
      <w:r>
        <w:tab/>
      </w:r>
      <w:r>
        <w:fldChar w:fldCharType="begin"/>
      </w:r>
      <w:r>
        <w:instrText xml:space="preserve"> PAGEREF _Toc15445 \h </w:instrText>
      </w:r>
      <w:r>
        <w:fldChar w:fldCharType="separate"/>
      </w:r>
      <w:r>
        <w:t>- 21 -</w:t>
      </w:r>
      <w:r>
        <w:fldChar w:fldCharType="end"/>
      </w:r>
      <w:r>
        <w:rPr>
          <w:rFonts w:hint="eastAsia" w:ascii="仿宋" w:hAnsi="仿宋" w:eastAsia="仿宋" w:cs="仿宋"/>
          <w:color w:val="auto"/>
          <w:szCs w:val="24"/>
          <w:highlight w:val="none"/>
        </w:rPr>
        <w:fldChar w:fldCharType="end"/>
      </w:r>
    </w:p>
    <w:p w14:paraId="629F011E">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_Toc20630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一、比选费用</w:t>
      </w:r>
      <w:r>
        <w:tab/>
      </w:r>
      <w:r>
        <w:fldChar w:fldCharType="begin"/>
      </w:r>
      <w:r>
        <w:instrText xml:space="preserve"> PAGEREF _Toc20630 \h </w:instrText>
      </w:r>
      <w:r>
        <w:fldChar w:fldCharType="separate"/>
      </w:r>
      <w:r>
        <w:t>- 21 -</w:t>
      </w:r>
      <w:r>
        <w:fldChar w:fldCharType="end"/>
      </w:r>
      <w:r>
        <w:rPr>
          <w:rFonts w:hint="eastAsia" w:ascii="仿宋" w:hAnsi="仿宋" w:eastAsia="仿宋" w:cs="仿宋"/>
          <w:color w:val="auto"/>
          <w:szCs w:val="24"/>
          <w:highlight w:val="none"/>
        </w:rPr>
        <w:fldChar w:fldCharType="end"/>
      </w:r>
    </w:p>
    <w:p w14:paraId="3A4B7B34">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_Toc4321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二、比选文件</w:t>
      </w:r>
      <w:r>
        <w:tab/>
      </w:r>
      <w:r>
        <w:fldChar w:fldCharType="begin"/>
      </w:r>
      <w:r>
        <w:instrText xml:space="preserve"> PAGEREF _Toc4321 \h </w:instrText>
      </w:r>
      <w:r>
        <w:fldChar w:fldCharType="separate"/>
      </w:r>
      <w:r>
        <w:t>- 21 -</w:t>
      </w:r>
      <w:r>
        <w:fldChar w:fldCharType="end"/>
      </w:r>
      <w:r>
        <w:rPr>
          <w:rFonts w:hint="eastAsia" w:ascii="仿宋" w:hAnsi="仿宋" w:eastAsia="仿宋" w:cs="仿宋"/>
          <w:color w:val="auto"/>
          <w:szCs w:val="24"/>
          <w:highlight w:val="none"/>
        </w:rPr>
        <w:fldChar w:fldCharType="end"/>
      </w:r>
    </w:p>
    <w:p w14:paraId="69303C9D">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_Toc29062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三、比选要求</w:t>
      </w:r>
      <w:r>
        <w:tab/>
      </w:r>
      <w:r>
        <w:fldChar w:fldCharType="begin"/>
      </w:r>
      <w:r>
        <w:instrText xml:space="preserve"> PAGEREF _Toc29062 \h </w:instrText>
      </w:r>
      <w:r>
        <w:fldChar w:fldCharType="separate"/>
      </w:r>
      <w:r>
        <w:t>- 21 -</w:t>
      </w:r>
      <w:r>
        <w:fldChar w:fldCharType="end"/>
      </w:r>
      <w:r>
        <w:rPr>
          <w:rFonts w:hint="eastAsia" w:ascii="仿宋" w:hAnsi="仿宋" w:eastAsia="仿宋" w:cs="仿宋"/>
          <w:color w:val="auto"/>
          <w:szCs w:val="24"/>
          <w:highlight w:val="none"/>
        </w:rPr>
        <w:fldChar w:fldCharType="end"/>
      </w:r>
    </w:p>
    <w:p w14:paraId="2C1A8C47">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_Toc24826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四、成交供应商的确认和变更</w:t>
      </w:r>
      <w:r>
        <w:tab/>
      </w:r>
      <w:r>
        <w:fldChar w:fldCharType="begin"/>
      </w:r>
      <w:r>
        <w:instrText xml:space="preserve"> PAGEREF _Toc24826 \h </w:instrText>
      </w:r>
      <w:r>
        <w:fldChar w:fldCharType="separate"/>
      </w:r>
      <w:r>
        <w:t>- 22 -</w:t>
      </w:r>
      <w:r>
        <w:fldChar w:fldCharType="end"/>
      </w:r>
      <w:r>
        <w:rPr>
          <w:rFonts w:hint="eastAsia" w:ascii="仿宋" w:hAnsi="仿宋" w:eastAsia="仿宋" w:cs="仿宋"/>
          <w:color w:val="auto"/>
          <w:szCs w:val="24"/>
          <w:highlight w:val="none"/>
        </w:rPr>
        <w:fldChar w:fldCharType="end"/>
      </w:r>
    </w:p>
    <w:p w14:paraId="4AA7AFE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_Toc15527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五、中标（成交）通知</w:t>
      </w:r>
      <w:r>
        <w:tab/>
      </w:r>
      <w:r>
        <w:fldChar w:fldCharType="begin"/>
      </w:r>
      <w:r>
        <w:instrText xml:space="preserve"> PAGEREF _Toc15527 \h </w:instrText>
      </w:r>
      <w:r>
        <w:fldChar w:fldCharType="separate"/>
      </w:r>
      <w:r>
        <w:t>- 23 -</w:t>
      </w:r>
      <w:r>
        <w:fldChar w:fldCharType="end"/>
      </w:r>
      <w:r>
        <w:rPr>
          <w:rFonts w:hint="eastAsia" w:ascii="仿宋" w:hAnsi="仿宋" w:eastAsia="仿宋" w:cs="仿宋"/>
          <w:color w:val="auto"/>
          <w:szCs w:val="24"/>
          <w:highlight w:val="none"/>
        </w:rPr>
        <w:fldChar w:fldCharType="end"/>
      </w:r>
    </w:p>
    <w:p w14:paraId="04309DF7">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_Toc20720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六、关于质疑和投诉</w:t>
      </w:r>
      <w:r>
        <w:tab/>
      </w:r>
      <w:r>
        <w:fldChar w:fldCharType="begin"/>
      </w:r>
      <w:r>
        <w:instrText xml:space="preserve"> PAGEREF _Toc20720 \h </w:instrText>
      </w:r>
      <w:r>
        <w:fldChar w:fldCharType="separate"/>
      </w:r>
      <w:r>
        <w:t>- 23 -</w:t>
      </w:r>
      <w:r>
        <w:fldChar w:fldCharType="end"/>
      </w:r>
      <w:r>
        <w:rPr>
          <w:rFonts w:hint="eastAsia" w:ascii="仿宋" w:hAnsi="仿宋" w:eastAsia="仿宋" w:cs="仿宋"/>
          <w:color w:val="auto"/>
          <w:szCs w:val="24"/>
          <w:highlight w:val="none"/>
        </w:rPr>
        <w:fldChar w:fldCharType="end"/>
      </w:r>
    </w:p>
    <w:p w14:paraId="04301FEE">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_Toc28119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七、采购代理服务费</w:t>
      </w:r>
      <w:r>
        <w:tab/>
      </w:r>
      <w:r>
        <w:fldChar w:fldCharType="begin"/>
      </w:r>
      <w:r>
        <w:instrText xml:space="preserve"> PAGEREF _Toc28119 \h </w:instrText>
      </w:r>
      <w:r>
        <w:fldChar w:fldCharType="separate"/>
      </w:r>
      <w:r>
        <w:t>- 24 -</w:t>
      </w:r>
      <w:r>
        <w:fldChar w:fldCharType="end"/>
      </w:r>
      <w:r>
        <w:rPr>
          <w:rFonts w:hint="eastAsia" w:ascii="仿宋" w:hAnsi="仿宋" w:eastAsia="仿宋" w:cs="仿宋"/>
          <w:color w:val="auto"/>
          <w:szCs w:val="24"/>
          <w:highlight w:val="none"/>
        </w:rPr>
        <w:fldChar w:fldCharType="end"/>
      </w:r>
    </w:p>
    <w:p w14:paraId="09CD3C73">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_Toc23251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八、签订合同</w:t>
      </w:r>
      <w:r>
        <w:tab/>
      </w:r>
      <w:r>
        <w:fldChar w:fldCharType="begin"/>
      </w:r>
      <w:r>
        <w:instrText xml:space="preserve"> PAGEREF _Toc23251 \h </w:instrText>
      </w:r>
      <w:r>
        <w:fldChar w:fldCharType="separate"/>
      </w:r>
      <w:r>
        <w:t>- 24 -</w:t>
      </w:r>
      <w:r>
        <w:fldChar w:fldCharType="end"/>
      </w:r>
      <w:r>
        <w:rPr>
          <w:rFonts w:hint="eastAsia" w:ascii="仿宋" w:hAnsi="仿宋" w:eastAsia="仿宋" w:cs="仿宋"/>
          <w:color w:val="auto"/>
          <w:szCs w:val="24"/>
          <w:highlight w:val="none"/>
        </w:rPr>
        <w:fldChar w:fldCharType="end"/>
      </w:r>
    </w:p>
    <w:p w14:paraId="06742A8A">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_Toc5627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lang w:val="en-US" w:eastAsia="zh-CN"/>
        </w:rPr>
        <w:t>第六篇  采购合同</w:t>
      </w:r>
      <w:r>
        <w:tab/>
      </w:r>
      <w:r>
        <w:fldChar w:fldCharType="begin"/>
      </w:r>
      <w:r>
        <w:instrText xml:space="preserve"> PAGEREF _Toc5627 \h </w:instrText>
      </w:r>
      <w:r>
        <w:fldChar w:fldCharType="separate"/>
      </w:r>
      <w:r>
        <w:t>- 26 -</w:t>
      </w:r>
      <w:r>
        <w:fldChar w:fldCharType="end"/>
      </w:r>
      <w:r>
        <w:rPr>
          <w:rFonts w:hint="eastAsia" w:ascii="仿宋" w:hAnsi="仿宋" w:eastAsia="仿宋" w:cs="仿宋"/>
          <w:color w:val="auto"/>
          <w:szCs w:val="24"/>
          <w:highlight w:val="none"/>
        </w:rPr>
        <w:fldChar w:fldCharType="end"/>
      </w:r>
    </w:p>
    <w:p w14:paraId="7105E08D">
      <w:pPr>
        <w:pStyle w:val="18"/>
        <w:tabs>
          <w:tab w:val="right" w:leader="dot" w:pos="9639"/>
          <w:tab w:val="clear" w:pos="1260"/>
          <w:tab w:val="clear" w:pos="1685"/>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_Toc13984 </w:instrText>
      </w:r>
      <w:r>
        <w:rPr>
          <w:rFonts w:hint="eastAsia" w:ascii="仿宋" w:hAnsi="仿宋" w:eastAsia="仿宋" w:cs="仿宋"/>
          <w:szCs w:val="24"/>
          <w:highlight w:val="none"/>
        </w:rPr>
        <w:fldChar w:fldCharType="separate"/>
      </w:r>
      <w:r>
        <w:rPr>
          <w:rFonts w:hint="eastAsia" w:ascii="仿宋" w:hAnsi="仿宋" w:eastAsia="仿宋" w:cs="仿宋"/>
          <w:bCs/>
          <w:szCs w:val="44"/>
          <w:highlight w:val="none"/>
        </w:rPr>
        <w:t xml:space="preserve">第七篇  </w:t>
      </w:r>
      <w:r>
        <w:rPr>
          <w:rFonts w:hint="eastAsia" w:ascii="仿宋" w:hAnsi="仿宋" w:eastAsia="仿宋" w:cs="仿宋"/>
          <w:bCs/>
          <w:szCs w:val="44"/>
          <w:highlight w:val="none"/>
          <w:lang w:eastAsia="zh-CN"/>
        </w:rPr>
        <w:t>响应文件</w:t>
      </w:r>
      <w:r>
        <w:rPr>
          <w:rFonts w:hint="eastAsia" w:ascii="仿宋" w:hAnsi="仿宋" w:eastAsia="仿宋" w:cs="仿宋"/>
          <w:bCs/>
          <w:szCs w:val="44"/>
          <w:highlight w:val="none"/>
        </w:rPr>
        <w:t>编制要求</w:t>
      </w:r>
      <w:r>
        <w:tab/>
      </w:r>
      <w:r>
        <w:fldChar w:fldCharType="begin"/>
      </w:r>
      <w:r>
        <w:instrText xml:space="preserve"> PAGEREF _Toc13984 \h </w:instrText>
      </w:r>
      <w:r>
        <w:fldChar w:fldCharType="separate"/>
      </w:r>
      <w:r>
        <w:t>- 27 -</w:t>
      </w:r>
      <w:r>
        <w:fldChar w:fldCharType="end"/>
      </w:r>
      <w:r>
        <w:rPr>
          <w:rFonts w:hint="eastAsia" w:ascii="仿宋" w:hAnsi="仿宋" w:eastAsia="仿宋" w:cs="仿宋"/>
          <w:color w:val="auto"/>
          <w:szCs w:val="24"/>
          <w:highlight w:val="none"/>
        </w:rPr>
        <w:fldChar w:fldCharType="end"/>
      </w:r>
    </w:p>
    <w:p w14:paraId="33734105">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_Toc5382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一、经济部分</w:t>
      </w:r>
      <w:r>
        <w:tab/>
      </w:r>
      <w:r>
        <w:fldChar w:fldCharType="begin"/>
      </w:r>
      <w:r>
        <w:instrText xml:space="preserve"> PAGEREF _Toc5382 \h </w:instrText>
      </w:r>
      <w:r>
        <w:fldChar w:fldCharType="separate"/>
      </w:r>
      <w:r>
        <w:t>- 29 -</w:t>
      </w:r>
      <w:r>
        <w:fldChar w:fldCharType="end"/>
      </w:r>
      <w:r>
        <w:rPr>
          <w:rFonts w:hint="eastAsia" w:ascii="仿宋" w:hAnsi="仿宋" w:eastAsia="仿宋" w:cs="仿宋"/>
          <w:color w:val="auto"/>
          <w:szCs w:val="24"/>
          <w:highlight w:val="none"/>
        </w:rPr>
        <w:fldChar w:fldCharType="end"/>
      </w:r>
    </w:p>
    <w:p w14:paraId="5237D479">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_Toc21697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二、服务部分</w:t>
      </w:r>
      <w:r>
        <w:tab/>
      </w:r>
      <w:r>
        <w:fldChar w:fldCharType="begin"/>
      </w:r>
      <w:r>
        <w:instrText xml:space="preserve"> PAGEREF _Toc21697 \h </w:instrText>
      </w:r>
      <w:r>
        <w:fldChar w:fldCharType="separate"/>
      </w:r>
      <w:r>
        <w:t>- 30 -</w:t>
      </w:r>
      <w:r>
        <w:fldChar w:fldCharType="end"/>
      </w:r>
      <w:r>
        <w:rPr>
          <w:rFonts w:hint="eastAsia" w:ascii="仿宋" w:hAnsi="仿宋" w:eastAsia="仿宋" w:cs="仿宋"/>
          <w:color w:val="auto"/>
          <w:szCs w:val="24"/>
          <w:highlight w:val="none"/>
        </w:rPr>
        <w:fldChar w:fldCharType="end"/>
      </w:r>
    </w:p>
    <w:p w14:paraId="10DB5ADF">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_Toc28922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三、商务部分</w:t>
      </w:r>
      <w:r>
        <w:tab/>
      </w:r>
      <w:r>
        <w:fldChar w:fldCharType="begin"/>
      </w:r>
      <w:r>
        <w:instrText xml:space="preserve"> PAGEREF _Toc28922 \h </w:instrText>
      </w:r>
      <w:r>
        <w:fldChar w:fldCharType="separate"/>
      </w:r>
      <w:r>
        <w:t>- 32 -</w:t>
      </w:r>
      <w:r>
        <w:fldChar w:fldCharType="end"/>
      </w:r>
      <w:r>
        <w:rPr>
          <w:rFonts w:hint="eastAsia" w:ascii="仿宋" w:hAnsi="仿宋" w:eastAsia="仿宋" w:cs="仿宋"/>
          <w:color w:val="auto"/>
          <w:szCs w:val="24"/>
          <w:highlight w:val="none"/>
        </w:rPr>
        <w:fldChar w:fldCharType="end"/>
      </w:r>
    </w:p>
    <w:p w14:paraId="621833AE">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_Toc1413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四、资格条件及其他</w:t>
      </w:r>
      <w:r>
        <w:tab/>
      </w:r>
      <w:r>
        <w:fldChar w:fldCharType="begin"/>
      </w:r>
      <w:r>
        <w:instrText xml:space="preserve"> PAGEREF _Toc1413 \h </w:instrText>
      </w:r>
      <w:r>
        <w:fldChar w:fldCharType="separate"/>
      </w:r>
      <w:r>
        <w:t>34</w:t>
      </w:r>
      <w:r>
        <w:fldChar w:fldCharType="end"/>
      </w:r>
      <w:r>
        <w:rPr>
          <w:rFonts w:hint="eastAsia" w:ascii="仿宋" w:hAnsi="仿宋" w:eastAsia="仿宋" w:cs="仿宋"/>
          <w:color w:val="auto"/>
          <w:szCs w:val="24"/>
          <w:highlight w:val="none"/>
        </w:rPr>
        <w:fldChar w:fldCharType="end"/>
      </w:r>
    </w:p>
    <w:p w14:paraId="13FEE55A">
      <w:pPr>
        <w:pStyle w:val="19"/>
        <w:tabs>
          <w:tab w:val="right" w:leader="dot" w:pos="9639"/>
          <w:tab w:val="clear" w:pos="8400"/>
        </w:tabs>
      </w:pPr>
      <w:r>
        <w:rPr>
          <w:rFonts w:hint="eastAsia" w:ascii="仿宋" w:hAnsi="仿宋" w:eastAsia="仿宋" w:cs="仿宋"/>
          <w:color w:val="auto"/>
          <w:szCs w:val="24"/>
          <w:highlight w:val="none"/>
        </w:rPr>
        <w:fldChar w:fldCharType="begin"/>
      </w:r>
      <w:r>
        <w:rPr>
          <w:rFonts w:hint="eastAsia" w:ascii="仿宋" w:hAnsi="仿宋" w:eastAsia="仿宋" w:cs="仿宋"/>
          <w:szCs w:val="24"/>
          <w:highlight w:val="none"/>
        </w:rPr>
        <w:instrText xml:space="preserve"> HYPERLINK \l _Toc23022 </w:instrText>
      </w:r>
      <w:r>
        <w:rPr>
          <w:rFonts w:hint="eastAsia" w:ascii="仿宋" w:hAnsi="仿宋" w:eastAsia="仿宋" w:cs="仿宋"/>
          <w:szCs w:val="24"/>
          <w:highlight w:val="none"/>
        </w:rPr>
        <w:fldChar w:fldCharType="separate"/>
      </w:r>
      <w:r>
        <w:rPr>
          <w:rFonts w:hint="eastAsia" w:ascii="仿宋" w:hAnsi="仿宋" w:eastAsia="仿宋" w:cs="仿宋"/>
          <w:kern w:val="2"/>
          <w:szCs w:val="24"/>
          <w:lang w:val="en-US" w:eastAsia="zh-CN" w:bidi="ar-SA"/>
        </w:rPr>
        <w:t>五、其他资料</w:t>
      </w:r>
      <w:r>
        <w:tab/>
      </w:r>
      <w:r>
        <w:fldChar w:fldCharType="begin"/>
      </w:r>
      <w:r>
        <w:instrText xml:space="preserve"> PAGEREF _Toc23022 \h </w:instrText>
      </w:r>
      <w:r>
        <w:fldChar w:fldCharType="separate"/>
      </w:r>
      <w:r>
        <w:t>39</w:t>
      </w:r>
      <w:r>
        <w:fldChar w:fldCharType="end"/>
      </w:r>
      <w:r>
        <w:rPr>
          <w:rFonts w:hint="eastAsia" w:ascii="仿宋" w:hAnsi="仿宋" w:eastAsia="仿宋" w:cs="仿宋"/>
          <w:color w:val="auto"/>
          <w:szCs w:val="24"/>
          <w:highlight w:val="none"/>
        </w:rPr>
        <w:fldChar w:fldCharType="end"/>
      </w:r>
    </w:p>
    <w:p w14:paraId="427DE3E0">
      <w:pPr>
        <w:pStyle w:val="18"/>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Cs w:val="24"/>
          <w:highlight w:val="none"/>
        </w:rPr>
        <w:fldChar w:fldCharType="end"/>
      </w:r>
      <w:r>
        <w:rPr>
          <w:rFonts w:hint="eastAsia" w:ascii="仿宋" w:hAnsi="仿宋" w:eastAsia="仿宋" w:cs="仿宋"/>
          <w:color w:val="auto"/>
          <w:sz w:val="24"/>
          <w:szCs w:val="24"/>
          <w:highlight w:val="none"/>
        </w:rPr>
        <w:br w:type="page"/>
      </w:r>
    </w:p>
    <w:p w14:paraId="24BA9CAA">
      <w:pPr>
        <w:pStyle w:val="2"/>
        <w:spacing w:before="0" w:beforeLines="0" w:after="0" w:afterLines="0" w:line="360" w:lineRule="auto"/>
        <w:rPr>
          <w:rFonts w:hint="eastAsia" w:ascii="仿宋" w:hAnsi="仿宋" w:eastAsia="仿宋" w:cs="仿宋"/>
          <w:b/>
          <w:bCs/>
          <w:color w:val="auto"/>
          <w:sz w:val="44"/>
          <w:szCs w:val="44"/>
          <w:highlight w:val="none"/>
        </w:rPr>
      </w:pPr>
      <w:bookmarkStart w:id="0" w:name="_Toc426"/>
      <w:r>
        <w:rPr>
          <w:rFonts w:hint="eastAsia" w:ascii="仿宋" w:hAnsi="仿宋" w:eastAsia="仿宋" w:cs="仿宋"/>
          <w:b/>
          <w:bCs/>
          <w:color w:val="auto"/>
          <w:sz w:val="44"/>
          <w:szCs w:val="44"/>
          <w:highlight w:val="none"/>
        </w:rPr>
        <w:t xml:space="preserve">第一篇  </w:t>
      </w:r>
      <w:r>
        <w:rPr>
          <w:rFonts w:hint="eastAsia" w:ascii="仿宋" w:hAnsi="仿宋" w:eastAsia="仿宋" w:cs="仿宋"/>
          <w:b/>
          <w:bCs/>
          <w:color w:val="auto"/>
          <w:sz w:val="44"/>
          <w:szCs w:val="44"/>
          <w:highlight w:val="none"/>
          <w:lang w:eastAsia="zh-CN"/>
        </w:rPr>
        <w:t>比选</w:t>
      </w:r>
      <w:r>
        <w:rPr>
          <w:rFonts w:hint="eastAsia" w:ascii="仿宋" w:hAnsi="仿宋" w:eastAsia="仿宋" w:cs="仿宋"/>
          <w:b/>
          <w:bCs/>
          <w:color w:val="auto"/>
          <w:sz w:val="44"/>
          <w:szCs w:val="44"/>
          <w:highlight w:val="none"/>
        </w:rPr>
        <w:t>邀请书</w:t>
      </w:r>
      <w:bookmarkEnd w:id="0"/>
    </w:p>
    <w:p w14:paraId="6023A75D">
      <w:pPr>
        <w:pStyle w:val="11"/>
        <w:keepNext w:val="0"/>
        <w:keepLines w:val="0"/>
        <w:pageBreakBefore w:val="0"/>
        <w:widowControl w:val="0"/>
        <w:kinsoku/>
        <w:wordWrap/>
        <w:overflowPunct/>
        <w:topLinePunct w:val="0"/>
        <w:autoSpaceDE/>
        <w:autoSpaceDN/>
        <w:bidi w:val="0"/>
        <w:adjustRightInd/>
        <w:snapToGrid/>
        <w:spacing w:line="400" w:lineRule="exact"/>
        <w:ind w:left="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lang w:eastAsia="zh-CN"/>
        </w:rPr>
        <w:t>重庆市聚创招标代理有限公司</w:t>
      </w:r>
      <w:r>
        <w:rPr>
          <w:rFonts w:hint="eastAsia" w:ascii="仿宋" w:hAnsi="仿宋" w:eastAsia="仿宋" w:cs="仿宋"/>
          <w:color w:val="auto"/>
          <w:sz w:val="24"/>
          <w:szCs w:val="24"/>
          <w:highlight w:val="none"/>
        </w:rPr>
        <w:t>(以下简称：采购代理机构)受</w:t>
      </w:r>
      <w:r>
        <w:rPr>
          <w:rFonts w:hint="eastAsia" w:ascii="仿宋" w:hAnsi="仿宋" w:eastAsia="仿宋" w:cs="仿宋"/>
          <w:color w:val="auto"/>
          <w:sz w:val="24"/>
          <w:szCs w:val="24"/>
          <w:highlight w:val="none"/>
          <w:u w:val="single"/>
          <w:lang w:eastAsia="zh-CN"/>
        </w:rPr>
        <w:t>重庆市子漫人力资源服务有限公司、重庆市子漫人力资源服务有限公司伊顿物业分公司</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u w:val="none"/>
          <w:lang w:val="en-US" w:eastAsia="zh-CN"/>
        </w:rPr>
        <w:t>以下简称：采购人</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rPr>
        <w:t>的委托，对</w:t>
      </w:r>
      <w:r>
        <w:rPr>
          <w:rFonts w:hint="eastAsia" w:ascii="仿宋" w:hAnsi="仿宋" w:eastAsia="仿宋" w:cs="仿宋"/>
          <w:color w:val="auto"/>
          <w:sz w:val="24"/>
          <w:szCs w:val="24"/>
          <w:highlight w:val="none"/>
          <w:u w:val="single"/>
          <w:lang w:val="en-US" w:eastAsia="zh-CN"/>
        </w:rPr>
        <w:t>物业公众责任险及附加险采购</w:t>
      </w:r>
      <w:r>
        <w:rPr>
          <w:rFonts w:hint="eastAsia" w:ascii="仿宋" w:hAnsi="仿宋" w:eastAsia="仿宋" w:cs="仿宋"/>
          <w:color w:val="auto"/>
          <w:sz w:val="24"/>
          <w:szCs w:val="24"/>
          <w:highlight w:val="none"/>
        </w:rPr>
        <w:t>（项目号</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none"/>
          <w:lang w:val="en-US" w:eastAsia="zh-CN"/>
        </w:rPr>
        <w:t>JCZB26183</w:t>
      </w:r>
      <w:r>
        <w:rPr>
          <w:rFonts w:hint="eastAsia" w:ascii="仿宋" w:hAnsi="仿宋" w:eastAsia="仿宋" w:cs="仿宋"/>
          <w:color w:val="auto"/>
          <w:sz w:val="24"/>
          <w:szCs w:val="24"/>
          <w:highlight w:val="none"/>
        </w:rPr>
        <w:t>）进行比选。欢迎有资格的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前来参加比选。</w:t>
      </w:r>
    </w:p>
    <w:p w14:paraId="4D557B9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sz w:val="24"/>
          <w:szCs w:val="24"/>
          <w:highlight w:val="none"/>
        </w:rPr>
      </w:pPr>
      <w:bookmarkStart w:id="1" w:name="_Toc28219"/>
      <w:r>
        <w:rPr>
          <w:rFonts w:hint="eastAsia" w:ascii="仿宋" w:hAnsi="仿宋" w:eastAsia="仿宋" w:cs="仿宋"/>
          <w:b/>
          <w:color w:val="auto"/>
          <w:kern w:val="2"/>
          <w:sz w:val="24"/>
          <w:szCs w:val="24"/>
          <w:lang w:val="en-US" w:eastAsia="zh-CN" w:bidi="ar-SA"/>
        </w:rPr>
        <w:t>一、</w:t>
      </w:r>
      <w:r>
        <w:rPr>
          <w:rFonts w:hint="eastAsia" w:ascii="仿宋" w:hAnsi="仿宋" w:eastAsia="仿宋" w:cs="仿宋"/>
          <w:b/>
          <w:color w:val="auto"/>
          <w:sz w:val="24"/>
          <w:szCs w:val="24"/>
          <w:highlight w:val="none"/>
        </w:rPr>
        <w:t>比选内容</w:t>
      </w:r>
      <w:bookmarkEnd w:id="1"/>
    </w:p>
    <w:p w14:paraId="10FA0835">
      <w:pPr>
        <w:pageBreakBefore w:val="0"/>
        <w:widowControl w:val="0"/>
        <w:numPr>
          <w:ilvl w:val="0"/>
          <w:numId w:val="0"/>
        </w:numPr>
        <w:kinsoku/>
        <w:wordWrap/>
        <w:overflowPunct/>
        <w:topLinePunct w:val="0"/>
        <w:autoSpaceDE/>
        <w:autoSpaceDN/>
        <w:bidi w:val="0"/>
        <w:spacing w:line="400" w:lineRule="exact"/>
        <w:jc w:val="both"/>
        <w:textAlignment w:val="auto"/>
        <w:rPr>
          <w:rFonts w:hint="eastAsia" w:ascii="仿宋" w:hAnsi="仿宋" w:eastAsia="仿宋" w:cs="仿宋"/>
          <w:sz w:val="24"/>
          <w:szCs w:val="24"/>
          <w:highlight w:val="none"/>
        </w:rPr>
      </w:pPr>
    </w:p>
    <w:tbl>
      <w:tblPr>
        <w:tblStyle w:val="24"/>
        <w:tblW w:w="9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7"/>
        <w:gridCol w:w="1781"/>
        <w:gridCol w:w="1960"/>
        <w:gridCol w:w="1388"/>
      </w:tblGrid>
      <w:tr w14:paraId="5CF0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407" w:type="dxa"/>
            <w:tcBorders>
              <w:top w:val="single" w:color="auto" w:sz="4" w:space="0"/>
              <w:left w:val="single" w:color="auto" w:sz="4" w:space="0"/>
              <w:right w:val="single" w:color="auto" w:sz="4" w:space="0"/>
            </w:tcBorders>
            <w:noWrap w:val="0"/>
            <w:vAlign w:val="center"/>
          </w:tcPr>
          <w:p w14:paraId="1646DD2E">
            <w:pPr>
              <w:pageBreakBefore w:val="0"/>
              <w:widowControl/>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lang w:val="en-US" w:eastAsia="zh-CN"/>
              </w:rPr>
              <w:t>项目名称</w:t>
            </w:r>
          </w:p>
        </w:tc>
        <w:tc>
          <w:tcPr>
            <w:tcW w:w="1781" w:type="dxa"/>
            <w:tcBorders>
              <w:top w:val="single" w:color="auto" w:sz="4" w:space="0"/>
              <w:left w:val="single" w:color="auto" w:sz="4" w:space="0"/>
              <w:right w:val="single" w:color="auto" w:sz="4" w:space="0"/>
            </w:tcBorders>
            <w:noWrap w:val="0"/>
            <w:vAlign w:val="center"/>
          </w:tcPr>
          <w:p w14:paraId="0C23F08B">
            <w:pPr>
              <w:pStyle w:val="11"/>
              <w:pageBreakBefore w:val="0"/>
              <w:kinsoku/>
              <w:wordWrap/>
              <w:overflowPunct/>
              <w:topLinePunct w:val="0"/>
              <w:autoSpaceDE/>
              <w:autoSpaceDN/>
              <w:bidi w:val="0"/>
              <w:spacing w:line="400" w:lineRule="exact"/>
              <w:ind w:left="0"/>
              <w:jc w:val="center"/>
              <w:textAlignment w:val="auto"/>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t>最高限价</w:t>
            </w:r>
          </w:p>
          <w:p w14:paraId="021D395C">
            <w:pPr>
              <w:pageBreakBefore w:val="0"/>
              <w:widowControl/>
              <w:kinsoku/>
              <w:wordWrap/>
              <w:overflowPunct/>
              <w:topLinePunct w:val="0"/>
              <w:autoSpaceDE/>
              <w:autoSpaceDN/>
              <w:bidi w:val="0"/>
              <w:spacing w:line="400" w:lineRule="exact"/>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sz w:val="24"/>
                <w:szCs w:val="24"/>
                <w:highlight w:val="none"/>
              </w:rPr>
              <w:t>（折扣</w:t>
            </w:r>
            <w:r>
              <w:rPr>
                <w:rFonts w:hint="eastAsia" w:ascii="仿宋" w:hAnsi="仿宋" w:eastAsia="仿宋" w:cs="仿宋"/>
                <w:b/>
                <w:sz w:val="24"/>
                <w:szCs w:val="24"/>
                <w:highlight w:val="none"/>
                <w:lang w:val="en-US" w:eastAsia="zh-CN"/>
              </w:rPr>
              <w:t>比例</w:t>
            </w:r>
            <w:r>
              <w:rPr>
                <w:rFonts w:hint="eastAsia" w:ascii="仿宋" w:hAnsi="仿宋" w:eastAsia="仿宋" w:cs="仿宋"/>
                <w:b/>
                <w:sz w:val="24"/>
                <w:szCs w:val="24"/>
                <w:highlight w:val="none"/>
              </w:rPr>
              <w:t>）</w:t>
            </w:r>
          </w:p>
        </w:tc>
        <w:tc>
          <w:tcPr>
            <w:tcW w:w="1960" w:type="dxa"/>
            <w:tcBorders>
              <w:top w:val="single" w:color="auto" w:sz="4" w:space="0"/>
              <w:left w:val="single" w:color="auto" w:sz="4" w:space="0"/>
              <w:right w:val="single" w:color="auto" w:sz="4" w:space="0"/>
            </w:tcBorders>
            <w:noWrap w:val="0"/>
            <w:vAlign w:val="center"/>
          </w:tcPr>
          <w:p w14:paraId="65737177">
            <w:pPr>
              <w:pageBreakBefore w:val="0"/>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成交供应商数量（名）</w:t>
            </w:r>
          </w:p>
        </w:tc>
        <w:tc>
          <w:tcPr>
            <w:tcW w:w="1388" w:type="dxa"/>
            <w:tcBorders>
              <w:top w:val="single" w:color="auto" w:sz="4" w:space="0"/>
              <w:left w:val="single" w:color="auto" w:sz="4" w:space="0"/>
              <w:right w:val="single" w:color="auto" w:sz="4" w:space="0"/>
            </w:tcBorders>
            <w:noWrap w:val="0"/>
            <w:vAlign w:val="center"/>
          </w:tcPr>
          <w:p w14:paraId="3B06A9D4">
            <w:pPr>
              <w:pageBreakBefore w:val="0"/>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bCs/>
                <w:color w:val="000000"/>
                <w:kern w:val="0"/>
                <w:sz w:val="24"/>
                <w:szCs w:val="24"/>
                <w:highlight w:val="none"/>
                <w:lang w:val="en-US" w:eastAsia="zh-CN"/>
              </w:rPr>
            </w:pPr>
            <w:r>
              <w:rPr>
                <w:rFonts w:hint="eastAsia" w:ascii="仿宋" w:hAnsi="仿宋" w:eastAsia="仿宋" w:cs="仿宋"/>
                <w:b/>
                <w:bCs/>
                <w:color w:val="000000"/>
                <w:kern w:val="0"/>
                <w:sz w:val="24"/>
                <w:szCs w:val="24"/>
                <w:highlight w:val="none"/>
                <w:lang w:val="en-US" w:eastAsia="zh-CN"/>
              </w:rPr>
              <w:t>备注</w:t>
            </w:r>
          </w:p>
        </w:tc>
      </w:tr>
      <w:tr w14:paraId="4DFF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4407" w:type="dxa"/>
            <w:tcBorders>
              <w:top w:val="single" w:color="auto" w:sz="4" w:space="0"/>
              <w:left w:val="single" w:color="auto" w:sz="4" w:space="0"/>
              <w:bottom w:val="single" w:color="auto" w:sz="4" w:space="0"/>
              <w:right w:val="single" w:color="auto" w:sz="4" w:space="0"/>
            </w:tcBorders>
            <w:noWrap w:val="0"/>
            <w:vAlign w:val="center"/>
          </w:tcPr>
          <w:p w14:paraId="1C47DC00">
            <w:pPr>
              <w:pageBreakBefore w:val="0"/>
              <w:widowControl/>
              <w:numPr>
                <w:ilvl w:val="0"/>
                <w:numId w:val="0"/>
              </w:numPr>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val="0"/>
                <w:bCs w:val="0"/>
                <w:color w:val="000000"/>
                <w:kern w:val="2"/>
                <w:sz w:val="24"/>
                <w:szCs w:val="24"/>
                <w:highlight w:val="none"/>
                <w:lang w:val="en-US" w:eastAsia="zh-CN"/>
              </w:rPr>
            </w:pPr>
            <w:r>
              <w:rPr>
                <w:rFonts w:hint="eastAsia" w:ascii="仿宋" w:hAnsi="仿宋" w:eastAsia="仿宋" w:cs="仿宋"/>
                <w:color w:val="auto"/>
                <w:sz w:val="24"/>
                <w:szCs w:val="24"/>
                <w:highlight w:val="none"/>
                <w:u w:val="none"/>
                <w:lang w:val="en-US" w:eastAsia="zh-CN"/>
              </w:rPr>
              <w:t>物业公众责任险及附加险采购</w:t>
            </w:r>
          </w:p>
        </w:tc>
        <w:tc>
          <w:tcPr>
            <w:tcW w:w="1781" w:type="dxa"/>
            <w:tcBorders>
              <w:top w:val="single" w:color="auto" w:sz="4" w:space="0"/>
              <w:left w:val="single" w:color="auto" w:sz="4" w:space="0"/>
              <w:bottom w:val="single" w:color="auto" w:sz="4" w:space="0"/>
              <w:right w:val="single" w:color="auto" w:sz="4" w:space="0"/>
            </w:tcBorders>
            <w:noWrap w:val="0"/>
            <w:vAlign w:val="center"/>
          </w:tcPr>
          <w:p w14:paraId="72C93E6B">
            <w:pPr>
              <w:pageBreakBefore w:val="0"/>
              <w:widowControl/>
              <w:numPr>
                <w:ilvl w:val="0"/>
                <w:numId w:val="0"/>
              </w:numPr>
              <w:kinsoku/>
              <w:wordWrap/>
              <w:overflowPunct/>
              <w:topLinePunct w:val="0"/>
              <w:autoSpaceDE/>
              <w:autoSpaceDN/>
              <w:bidi w:val="0"/>
              <w:spacing w:line="400" w:lineRule="exact"/>
              <w:ind w:firstLine="0" w:firstLineChars="0"/>
              <w:jc w:val="center"/>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sz w:val="24"/>
                <w:szCs w:val="24"/>
                <w:highlight w:val="none"/>
                <w:lang w:val="en-US" w:eastAsia="zh-CN"/>
              </w:rPr>
              <w:t>100%</w:t>
            </w:r>
          </w:p>
        </w:tc>
        <w:tc>
          <w:tcPr>
            <w:tcW w:w="1960" w:type="dxa"/>
            <w:tcBorders>
              <w:top w:val="single" w:color="auto" w:sz="4" w:space="0"/>
              <w:left w:val="single" w:color="auto" w:sz="4" w:space="0"/>
              <w:bottom w:val="single" w:color="auto" w:sz="4" w:space="0"/>
              <w:right w:val="single" w:color="auto" w:sz="4" w:space="0"/>
            </w:tcBorders>
            <w:noWrap w:val="0"/>
            <w:vAlign w:val="center"/>
          </w:tcPr>
          <w:p w14:paraId="7D8945C5">
            <w:pPr>
              <w:pageBreakBefore w:val="0"/>
              <w:kinsoku/>
              <w:wordWrap/>
              <w:overflowPunct/>
              <w:topLinePunct w:val="0"/>
              <w:autoSpaceDE/>
              <w:autoSpaceDN/>
              <w:bidi w:val="0"/>
              <w:spacing w:line="400" w:lineRule="exact"/>
              <w:jc w:val="center"/>
              <w:textAlignment w:val="auto"/>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1</w:t>
            </w:r>
          </w:p>
        </w:tc>
        <w:tc>
          <w:tcPr>
            <w:tcW w:w="1388" w:type="dxa"/>
            <w:tcBorders>
              <w:top w:val="single" w:color="auto" w:sz="4" w:space="0"/>
              <w:left w:val="single" w:color="auto" w:sz="4" w:space="0"/>
              <w:right w:val="single" w:color="auto" w:sz="4" w:space="0"/>
            </w:tcBorders>
            <w:noWrap w:val="0"/>
            <w:vAlign w:val="center"/>
          </w:tcPr>
          <w:p w14:paraId="3277E056">
            <w:pPr>
              <w:pageBreakBefore w:val="0"/>
              <w:kinsoku/>
              <w:wordWrap/>
              <w:overflowPunct/>
              <w:topLinePunct w:val="0"/>
              <w:autoSpaceDE/>
              <w:autoSpaceDN/>
              <w:bidi w:val="0"/>
              <w:spacing w:line="400" w:lineRule="exact"/>
              <w:ind w:firstLine="0" w:firstLineChars="0"/>
              <w:jc w:val="both"/>
              <w:textAlignment w:val="auto"/>
              <w:rPr>
                <w:rFonts w:hint="eastAsia" w:ascii="仿宋" w:hAnsi="仿宋" w:eastAsia="仿宋" w:cs="仿宋"/>
                <w:b w:val="0"/>
                <w:bCs w:val="0"/>
                <w:color w:val="000000"/>
                <w:sz w:val="24"/>
                <w:szCs w:val="24"/>
                <w:highlight w:val="none"/>
                <w:lang w:val="en-US" w:eastAsia="zh-CN"/>
              </w:rPr>
            </w:pPr>
          </w:p>
        </w:tc>
      </w:tr>
    </w:tbl>
    <w:p w14:paraId="76AF3D7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2" w:name="_Toc1082"/>
      <w:r>
        <w:rPr>
          <w:rFonts w:hint="eastAsia" w:ascii="仿宋" w:hAnsi="仿宋" w:eastAsia="仿宋" w:cs="仿宋"/>
          <w:b/>
          <w:color w:val="auto"/>
          <w:kern w:val="2"/>
          <w:sz w:val="24"/>
          <w:szCs w:val="24"/>
          <w:lang w:val="en-US" w:eastAsia="zh-CN" w:bidi="ar-SA"/>
        </w:rPr>
        <w:t>二、资金来源</w:t>
      </w:r>
      <w:bookmarkEnd w:id="2"/>
    </w:p>
    <w:p w14:paraId="32ECDBE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自筹资金</w:t>
      </w:r>
    </w:p>
    <w:p w14:paraId="711E8326">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3" w:name="_Toc13084"/>
      <w:r>
        <w:rPr>
          <w:rFonts w:hint="eastAsia" w:ascii="仿宋" w:hAnsi="仿宋" w:eastAsia="仿宋" w:cs="仿宋"/>
          <w:b/>
          <w:color w:val="auto"/>
          <w:kern w:val="2"/>
          <w:sz w:val="24"/>
          <w:szCs w:val="24"/>
          <w:lang w:val="en-US" w:eastAsia="zh-CN" w:bidi="ar-SA"/>
        </w:rPr>
        <w:t>三、供应商资格条件</w:t>
      </w:r>
      <w:bookmarkEnd w:id="3"/>
    </w:p>
    <w:p w14:paraId="540DF29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（一）满足《中华人民共和国政府采购法》第二十二条规定；</w:t>
      </w:r>
    </w:p>
    <w:p w14:paraId="0C85607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（二）落实政府采购政策需满足的资格要求：无</w:t>
      </w:r>
    </w:p>
    <w:p w14:paraId="3901CF3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（三）特定资格条件</w:t>
      </w:r>
      <w:bookmarkStart w:id="4" w:name="_Toc31712"/>
      <w:bookmarkStart w:id="5" w:name="_Toc9978"/>
      <w:bookmarkStart w:id="6" w:name="_Toc38532846"/>
      <w:bookmarkStart w:id="7" w:name="_Toc8408"/>
      <w:r>
        <w:rPr>
          <w:rFonts w:hint="eastAsia" w:ascii="仿宋" w:hAnsi="仿宋" w:eastAsia="仿宋" w:cs="仿宋"/>
          <w:color w:val="auto"/>
          <w:sz w:val="24"/>
          <w:szCs w:val="24"/>
          <w:highlight w:val="none"/>
          <w:lang w:val="en-US" w:eastAsia="zh-CN"/>
        </w:rPr>
        <w:t>：供应商具有国家金融监督管理总局颁发的《经营保险业务许可证》（提供复印件加盖公章）。</w:t>
      </w:r>
    </w:p>
    <w:p w14:paraId="69C82CD6">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因保险经营行业特殊情况，本项目允许保险公司分支公司、营业部、分支机构等及以上的保险机构参与竞选，不接受保险分出业务（如经纪公司等）。供应商须具备总公司针对本项目出具的唯一授权函原件。本竞争性比选文件所称法定代表人可为营业执照标注的“负责人”。</w:t>
      </w:r>
    </w:p>
    <w:p w14:paraId="5009F13E">
      <w:pPr>
        <w:pStyle w:val="9"/>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提供总公司针对本项目出具的唯一授权函原件并加盖总公司公章。</w:t>
      </w:r>
    </w:p>
    <w:p w14:paraId="155AD6A6">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①同一保险公司总公司，仅能授权一家分支机构参与本项目比选；总公司与自身授权的分支机构、同一总公司旗下多家分支机构，不得同时参与本项目比选，否则相关比选均作无效处理。</w:t>
      </w:r>
    </w:p>
    <w:p w14:paraId="2F7BC286">
      <w:pPr>
        <w:pStyle w:val="9"/>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szCs w:val="24"/>
          <w:lang w:val="en-US" w:eastAsia="zh-CN"/>
        </w:rPr>
      </w:pPr>
      <w:r>
        <w:rPr>
          <w:rFonts w:hint="eastAsia" w:ascii="仿宋" w:hAnsi="仿宋" w:eastAsia="仿宋" w:cs="仿宋"/>
          <w:color w:val="auto"/>
          <w:sz w:val="24"/>
          <w:szCs w:val="24"/>
          <w:highlight w:val="none"/>
          <w:lang w:val="en-US" w:eastAsia="zh-CN"/>
        </w:rPr>
        <w:t>②同一保险集团内，仅能有一家具备独立法人资格的保险主体参与本项目比选，集团内多家独立法人保险主体同时比选的，相关比选均作无效处理。</w:t>
      </w:r>
    </w:p>
    <w:p w14:paraId="749AA37B">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8" w:name="_Toc2057"/>
      <w:r>
        <w:rPr>
          <w:rFonts w:hint="eastAsia" w:ascii="仿宋" w:hAnsi="仿宋" w:eastAsia="仿宋" w:cs="仿宋"/>
          <w:b/>
          <w:color w:val="auto"/>
          <w:kern w:val="2"/>
          <w:sz w:val="24"/>
          <w:szCs w:val="24"/>
          <w:lang w:val="en-US" w:eastAsia="zh-CN" w:bidi="ar-SA"/>
        </w:rPr>
        <w:t>四、比选有关说明</w:t>
      </w:r>
      <w:bookmarkEnd w:id="4"/>
      <w:bookmarkEnd w:id="5"/>
      <w:bookmarkEnd w:id="6"/>
      <w:bookmarkEnd w:id="7"/>
      <w:bookmarkEnd w:id="8"/>
      <w:bookmarkStart w:id="9" w:name="_Toc373860294"/>
    </w:p>
    <w:bookmarkEnd w:id="9"/>
    <w:p w14:paraId="03E083CE">
      <w:pPr>
        <w:pageBreakBefore w:val="0"/>
        <w:widowControl w:val="0"/>
        <w:kinsoku/>
        <w:wordWrap/>
        <w:overflowPunct/>
        <w:topLinePunct w:val="0"/>
        <w:autoSpaceDE/>
        <w:autoSpaceDN/>
        <w:bidi w:val="0"/>
        <w:spacing w:line="400" w:lineRule="exact"/>
        <w:ind w:left="0" w:firstLine="480" w:firstLineChars="200"/>
        <w:textAlignment w:val="auto"/>
        <w:rPr>
          <w:rFonts w:hint="eastAsia" w:ascii="仿宋" w:hAnsi="仿宋" w:eastAsia="仿宋" w:cs="仿宋"/>
          <w:color w:val="auto"/>
          <w:sz w:val="24"/>
          <w:szCs w:val="24"/>
          <w:highlight w:val="none"/>
        </w:rPr>
      </w:pPr>
      <w:bookmarkStart w:id="10" w:name="_Toc29410"/>
      <w:bookmarkStart w:id="11" w:name="_Toc20439"/>
      <w:bookmarkStart w:id="12" w:name="_Toc25133"/>
      <w:bookmarkStart w:id="13" w:name="_Toc24265"/>
      <w:bookmarkStart w:id="14" w:name="_Toc28066"/>
      <w:bookmarkStart w:id="15" w:name="_Toc17545"/>
      <w:bookmarkStart w:id="16" w:name="_Toc41896028"/>
      <w:bookmarkStart w:id="17" w:name="_Toc3347"/>
      <w:bookmarkStart w:id="18" w:name="_Toc19692"/>
      <w:bookmarkStart w:id="19" w:name="_Toc7597"/>
      <w:bookmarkStart w:id="20" w:name="_Toc8938"/>
      <w:bookmarkStart w:id="21" w:name="_Toc19256"/>
      <w:r>
        <w:rPr>
          <w:rFonts w:hint="eastAsia" w:ascii="仿宋" w:hAnsi="仿宋" w:eastAsia="仿宋" w:cs="仿宋"/>
          <w:color w:val="auto"/>
          <w:sz w:val="24"/>
          <w:szCs w:val="24"/>
          <w:highlight w:val="none"/>
        </w:rPr>
        <w:t>（一）凡有意参加比选的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，请自行在</w:t>
      </w:r>
      <w:r>
        <w:rPr>
          <w:rFonts w:hint="eastAsia" w:ascii="仿宋" w:hAnsi="仿宋" w:eastAsia="仿宋" w:cs="仿宋"/>
          <w:color w:val="auto"/>
          <w:kern w:val="0"/>
          <w:sz w:val="24"/>
          <w:szCs w:val="24"/>
          <w:highlight w:val="none"/>
        </w:rPr>
        <w:t>重庆市子漫人力资源服务有限公司</w:t>
      </w:r>
      <w:r>
        <w:rPr>
          <w:rFonts w:hint="eastAsia" w:ascii="仿宋" w:hAnsi="仿宋" w:eastAsia="仿宋" w:cs="仿宋"/>
          <w:color w:val="auto"/>
          <w:kern w:val="0"/>
          <w:sz w:val="24"/>
          <w:szCs w:val="24"/>
          <w:highlight w:val="none"/>
          <w:lang w:val="en-US" w:eastAsia="zh-CN"/>
        </w:rPr>
        <w:t>官网</w:t>
      </w:r>
      <w:r>
        <w:rPr>
          <w:rFonts w:hint="eastAsia" w:ascii="仿宋" w:hAnsi="仿宋" w:eastAsia="仿宋" w:cs="仿宋"/>
          <w:color w:val="auto"/>
          <w:kern w:val="0"/>
          <w:sz w:val="24"/>
          <w:szCs w:val="24"/>
          <w:highlight w:val="none"/>
        </w:rPr>
        <w:t>（https://www.cqzmwsrc.com/）</w:t>
      </w:r>
      <w:r>
        <w:rPr>
          <w:rFonts w:hint="eastAsia" w:ascii="仿宋" w:hAnsi="仿宋" w:eastAsia="仿宋" w:cs="仿宋"/>
          <w:color w:val="auto"/>
          <w:sz w:val="24"/>
          <w:szCs w:val="24"/>
          <w:highlight w:val="none"/>
        </w:rPr>
        <w:t>上下载本项目比选文件及图纸、补遗等比选前公布的所有项目资料，无论</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下载与否，均视为已知晓所有比选实质性要求内容。</w:t>
      </w:r>
    </w:p>
    <w:p w14:paraId="4F2C61DB">
      <w:pPr>
        <w:pageBreakBefore w:val="0"/>
        <w:widowControl w:val="0"/>
        <w:kinsoku/>
        <w:wordWrap/>
        <w:overflowPunct/>
        <w:topLinePunct w:val="0"/>
        <w:autoSpaceDE/>
        <w:autoSpaceDN/>
        <w:bidi w:val="0"/>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（二）比选文件公告期限：自比选公告发布之日（202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rPr>
        <w:t>日）起三个工作日。</w:t>
      </w:r>
    </w:p>
    <w:p w14:paraId="5A6E6911">
      <w:pPr>
        <w:pageBreakBefore w:val="0"/>
        <w:widowControl w:val="0"/>
        <w:kinsoku/>
        <w:wordWrap/>
        <w:overflowPunct/>
        <w:topLinePunct w:val="0"/>
        <w:autoSpaceDE/>
        <w:autoSpaceDN/>
        <w:bidi w:val="0"/>
        <w:spacing w:line="400" w:lineRule="exact"/>
        <w:ind w:left="0"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）比选文件售</w:t>
      </w:r>
      <w:r>
        <w:rPr>
          <w:rFonts w:hint="eastAsia" w:ascii="仿宋" w:hAnsi="仿宋" w:eastAsia="仿宋" w:cs="仿宋"/>
          <w:color w:val="auto"/>
          <w:sz w:val="24"/>
          <w:szCs w:val="24"/>
          <w:highlight w:val="none"/>
          <w:lang w:val="en-US" w:eastAsia="zh-CN"/>
        </w:rPr>
        <w:t>价： 300 元/分包</w:t>
      </w:r>
      <w:r>
        <w:rPr>
          <w:rFonts w:hint="eastAsia" w:ascii="仿宋" w:hAnsi="仿宋" w:eastAsia="仿宋" w:cs="仿宋"/>
          <w:color w:val="auto"/>
          <w:sz w:val="24"/>
          <w:szCs w:val="24"/>
          <w:highlight w:val="none"/>
        </w:rPr>
        <w:t>（售后不退）</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 xml:space="preserve">                                                                                                </w:t>
      </w:r>
    </w:p>
    <w:p w14:paraId="5966B8A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（四）竞争性比选文件购买方式：汇款购买</w:t>
      </w:r>
    </w:p>
    <w:p w14:paraId="4635E5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（1）潜在参选人将《比选文件发售登记表》（加盖供应商公章）及标书费转账凭证扫描后发送至3055198377@qq.com（邮箱）。</w:t>
      </w:r>
    </w:p>
    <w:p w14:paraId="5CD4237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（2）收款账户：（转账时请备注供应商名称+代理项目编号）</w:t>
      </w:r>
    </w:p>
    <w:tbl>
      <w:tblPr>
        <w:tblStyle w:val="24"/>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6851"/>
      </w:tblGrid>
      <w:tr w14:paraId="7332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937" w:type="dxa"/>
            <w:noWrap/>
            <w:vAlign w:val="center"/>
          </w:tcPr>
          <w:p w14:paraId="13E92D6F">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开户名称</w:t>
            </w:r>
          </w:p>
        </w:tc>
        <w:tc>
          <w:tcPr>
            <w:tcW w:w="6851" w:type="dxa"/>
            <w:noWrap/>
            <w:vAlign w:val="center"/>
          </w:tcPr>
          <w:p w14:paraId="5239F186">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重庆市聚创招标代理有限公司</w:t>
            </w:r>
          </w:p>
        </w:tc>
      </w:tr>
      <w:tr w14:paraId="0DB1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937" w:type="dxa"/>
            <w:noWrap/>
            <w:vAlign w:val="center"/>
          </w:tcPr>
          <w:p w14:paraId="64595F1C">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开户银行</w:t>
            </w:r>
          </w:p>
        </w:tc>
        <w:tc>
          <w:tcPr>
            <w:tcW w:w="6851" w:type="dxa"/>
            <w:noWrap/>
            <w:vAlign w:val="center"/>
          </w:tcPr>
          <w:p w14:paraId="2B0C34DE">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中国建设银行股份有限公司重庆南坪支行</w:t>
            </w:r>
          </w:p>
        </w:tc>
      </w:tr>
      <w:tr w14:paraId="67EEE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937" w:type="dxa"/>
            <w:noWrap/>
            <w:vAlign w:val="center"/>
          </w:tcPr>
          <w:p w14:paraId="29D3D415">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银行账号</w:t>
            </w:r>
          </w:p>
        </w:tc>
        <w:tc>
          <w:tcPr>
            <w:tcW w:w="6851" w:type="dxa"/>
            <w:noWrap/>
            <w:vAlign w:val="center"/>
          </w:tcPr>
          <w:p w14:paraId="503EBAF3">
            <w:pPr>
              <w:pageBreakBefore w:val="0"/>
              <w:widowControl/>
              <w:kinsoku/>
              <w:wordWrap/>
              <w:overflowPunct/>
              <w:topLinePunct w:val="0"/>
              <w:autoSpaceDE/>
              <w:autoSpaceDN/>
              <w:bidi w:val="0"/>
              <w:adjustRightInd/>
              <w:spacing w:line="400" w:lineRule="exact"/>
              <w:jc w:val="center"/>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5005 0107 3600 0000 2102</w:t>
            </w:r>
          </w:p>
        </w:tc>
      </w:tr>
    </w:tbl>
    <w:p w14:paraId="0FB6DF7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（3）在比选文件发售期内购买了比选文件的供应商，其报名才被接收。</w:t>
      </w:r>
    </w:p>
    <w:p w14:paraId="7D5B13C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（4）潜在供应商未报名不得参与比选。</w:t>
      </w:r>
    </w:p>
    <w:p w14:paraId="0D887772">
      <w:pPr>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线下</w:t>
      </w:r>
      <w:r>
        <w:rPr>
          <w:rFonts w:hint="eastAsia" w:ascii="仿宋" w:hAnsi="仿宋" w:eastAsia="仿宋" w:cs="仿宋"/>
          <w:color w:val="auto"/>
          <w:sz w:val="24"/>
          <w:szCs w:val="24"/>
          <w:highlight w:val="none"/>
        </w:rPr>
        <w:t>递交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lang w:val="en-US" w:eastAsia="zh-CN"/>
        </w:rPr>
        <w:t>开始</w:t>
      </w:r>
      <w:r>
        <w:rPr>
          <w:rFonts w:hint="eastAsia" w:ascii="仿宋" w:hAnsi="仿宋" w:eastAsia="仿宋" w:cs="仿宋"/>
          <w:color w:val="auto"/>
          <w:sz w:val="24"/>
          <w:szCs w:val="24"/>
          <w:highlight w:val="none"/>
        </w:rPr>
        <w:t>时间：</w:t>
      </w:r>
      <w:r>
        <w:rPr>
          <w:rFonts w:hint="eastAsia" w:ascii="仿宋" w:hAnsi="仿宋" w:eastAsia="仿宋" w:cs="仿宋"/>
          <w:b/>
          <w:bCs/>
          <w:color w:val="auto"/>
          <w:sz w:val="24"/>
          <w:szCs w:val="24"/>
          <w:highlight w:val="none"/>
          <w:lang w:eastAsia="zh-CN"/>
        </w:rPr>
        <w:t>2026年</w:t>
      </w:r>
      <w:r>
        <w:rPr>
          <w:rFonts w:hint="eastAsia" w:ascii="仿宋" w:hAnsi="仿宋" w:eastAsia="仿宋" w:cs="仿宋"/>
          <w:b/>
          <w:bCs/>
          <w:color w:val="auto"/>
          <w:sz w:val="24"/>
          <w:szCs w:val="24"/>
          <w:highlight w:val="none"/>
          <w:lang w:val="en-US" w:eastAsia="zh-CN"/>
        </w:rPr>
        <w:t>9</w:t>
      </w:r>
      <w:r>
        <w:rPr>
          <w:rFonts w:hint="eastAsia" w:ascii="仿宋" w:hAnsi="仿宋" w:eastAsia="仿宋" w:cs="仿宋"/>
          <w:b/>
          <w:bCs/>
          <w:color w:val="auto"/>
          <w:sz w:val="24"/>
          <w:szCs w:val="24"/>
          <w:highlight w:val="none"/>
        </w:rPr>
        <w:t>月</w:t>
      </w:r>
      <w:r>
        <w:rPr>
          <w:rFonts w:hint="eastAsia" w:ascii="仿宋" w:hAnsi="仿宋" w:eastAsia="仿宋" w:cs="仿宋"/>
          <w:b/>
          <w:bCs/>
          <w:color w:val="auto"/>
          <w:sz w:val="24"/>
          <w:szCs w:val="24"/>
          <w:highlight w:val="none"/>
          <w:lang w:val="en-US" w:eastAsia="zh-CN"/>
        </w:rPr>
        <w:t>22</w:t>
      </w:r>
      <w:r>
        <w:rPr>
          <w:rFonts w:hint="eastAsia" w:ascii="仿宋" w:hAnsi="仿宋" w:eastAsia="仿宋" w:cs="仿宋"/>
          <w:b/>
          <w:bCs/>
          <w:color w:val="auto"/>
          <w:sz w:val="24"/>
          <w:szCs w:val="24"/>
          <w:highlight w:val="none"/>
        </w:rPr>
        <w:t>日1</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00</w:t>
      </w:r>
      <w:r>
        <w:rPr>
          <w:rFonts w:hint="eastAsia" w:ascii="仿宋" w:hAnsi="仿宋" w:eastAsia="仿宋" w:cs="仿宋"/>
          <w:b/>
          <w:bCs/>
          <w:color w:val="auto"/>
          <w:sz w:val="24"/>
          <w:szCs w:val="24"/>
          <w:highlight w:val="none"/>
        </w:rPr>
        <w:t>分（北京时间）。</w:t>
      </w:r>
    </w:p>
    <w:p w14:paraId="3036AD86">
      <w:pPr>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线下</w:t>
      </w:r>
      <w:r>
        <w:rPr>
          <w:rFonts w:hint="eastAsia" w:ascii="仿宋" w:hAnsi="仿宋" w:eastAsia="仿宋" w:cs="仿宋"/>
          <w:color w:val="auto"/>
          <w:sz w:val="24"/>
          <w:szCs w:val="24"/>
          <w:highlight w:val="none"/>
        </w:rPr>
        <w:t>递交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截止时间：</w:t>
      </w:r>
      <w:r>
        <w:rPr>
          <w:rFonts w:hint="eastAsia" w:ascii="仿宋" w:hAnsi="仿宋" w:eastAsia="仿宋" w:cs="仿宋"/>
          <w:b/>
          <w:bCs/>
          <w:color w:val="auto"/>
          <w:sz w:val="24"/>
          <w:szCs w:val="24"/>
          <w:highlight w:val="none"/>
          <w:lang w:eastAsia="zh-CN"/>
        </w:rPr>
        <w:t>2026年</w:t>
      </w:r>
      <w:r>
        <w:rPr>
          <w:rFonts w:hint="eastAsia" w:ascii="仿宋" w:hAnsi="仿宋" w:eastAsia="仿宋" w:cs="仿宋"/>
          <w:b/>
          <w:bCs/>
          <w:color w:val="auto"/>
          <w:sz w:val="24"/>
          <w:szCs w:val="24"/>
          <w:highlight w:val="none"/>
          <w:lang w:val="en-US" w:eastAsia="zh-CN"/>
        </w:rPr>
        <w:t>9</w:t>
      </w:r>
      <w:r>
        <w:rPr>
          <w:rFonts w:hint="eastAsia" w:ascii="仿宋" w:hAnsi="仿宋" w:eastAsia="仿宋" w:cs="仿宋"/>
          <w:b/>
          <w:bCs/>
          <w:color w:val="auto"/>
          <w:sz w:val="24"/>
          <w:szCs w:val="24"/>
          <w:highlight w:val="none"/>
        </w:rPr>
        <w:t>月</w:t>
      </w:r>
      <w:r>
        <w:rPr>
          <w:rFonts w:hint="eastAsia" w:ascii="仿宋" w:hAnsi="仿宋" w:eastAsia="仿宋" w:cs="仿宋"/>
          <w:b/>
          <w:bCs/>
          <w:color w:val="auto"/>
          <w:sz w:val="24"/>
          <w:szCs w:val="24"/>
          <w:highlight w:val="none"/>
          <w:lang w:val="en-US" w:eastAsia="zh-CN"/>
        </w:rPr>
        <w:t>22</w:t>
      </w:r>
      <w:r>
        <w:rPr>
          <w:rFonts w:hint="eastAsia" w:ascii="仿宋" w:hAnsi="仿宋" w:eastAsia="仿宋" w:cs="仿宋"/>
          <w:b/>
          <w:bCs/>
          <w:color w:val="auto"/>
          <w:sz w:val="24"/>
          <w:szCs w:val="24"/>
          <w:highlight w:val="none"/>
        </w:rPr>
        <w:t>日1</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0分（北京时间）。</w:t>
      </w:r>
    </w:p>
    <w:p w14:paraId="499B06F0">
      <w:pPr>
        <w:pStyle w:val="22"/>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）比选开始时间：</w:t>
      </w:r>
      <w:r>
        <w:rPr>
          <w:rFonts w:hint="eastAsia" w:ascii="仿宋" w:hAnsi="仿宋" w:eastAsia="仿宋" w:cs="仿宋"/>
          <w:b/>
          <w:bCs/>
          <w:color w:val="auto"/>
          <w:sz w:val="24"/>
          <w:szCs w:val="24"/>
          <w:highlight w:val="none"/>
          <w:lang w:eastAsia="zh-CN"/>
        </w:rPr>
        <w:t>2026年</w:t>
      </w:r>
      <w:r>
        <w:rPr>
          <w:rFonts w:hint="eastAsia" w:ascii="仿宋" w:hAnsi="仿宋" w:eastAsia="仿宋" w:cs="仿宋"/>
          <w:b/>
          <w:bCs/>
          <w:color w:val="auto"/>
          <w:sz w:val="24"/>
          <w:szCs w:val="24"/>
          <w:highlight w:val="none"/>
          <w:lang w:val="en-US" w:eastAsia="zh-CN"/>
        </w:rPr>
        <w:t>9</w:t>
      </w:r>
      <w:r>
        <w:rPr>
          <w:rFonts w:hint="eastAsia" w:ascii="仿宋" w:hAnsi="仿宋" w:eastAsia="仿宋" w:cs="仿宋"/>
          <w:b/>
          <w:bCs/>
          <w:color w:val="auto"/>
          <w:sz w:val="24"/>
          <w:szCs w:val="24"/>
          <w:highlight w:val="none"/>
        </w:rPr>
        <w:t>月</w:t>
      </w:r>
      <w:r>
        <w:rPr>
          <w:rFonts w:hint="eastAsia" w:ascii="仿宋" w:hAnsi="仿宋" w:eastAsia="仿宋" w:cs="仿宋"/>
          <w:b/>
          <w:bCs/>
          <w:color w:val="auto"/>
          <w:sz w:val="24"/>
          <w:szCs w:val="24"/>
          <w:highlight w:val="none"/>
          <w:lang w:val="en-US" w:eastAsia="zh-CN"/>
        </w:rPr>
        <w:t>22</w:t>
      </w:r>
      <w:r>
        <w:rPr>
          <w:rFonts w:hint="eastAsia" w:ascii="仿宋" w:hAnsi="仿宋" w:eastAsia="仿宋" w:cs="仿宋"/>
          <w:b/>
          <w:bCs/>
          <w:color w:val="auto"/>
          <w:sz w:val="24"/>
          <w:szCs w:val="24"/>
          <w:highlight w:val="none"/>
        </w:rPr>
        <w:t>日1</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时</w:t>
      </w:r>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rPr>
        <w:t>0分（北京时间）。</w:t>
      </w:r>
    </w:p>
    <w:p w14:paraId="482BF159">
      <w:pPr>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线下</w:t>
      </w:r>
      <w:r>
        <w:rPr>
          <w:rFonts w:hint="eastAsia" w:ascii="仿宋" w:hAnsi="仿宋" w:eastAsia="仿宋" w:cs="仿宋"/>
          <w:color w:val="auto"/>
          <w:sz w:val="24"/>
          <w:szCs w:val="24"/>
          <w:highlight w:val="none"/>
        </w:rPr>
        <w:t>递交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u w:val="none"/>
          <w:lang w:val="en-US" w:eastAsia="zh-CN"/>
        </w:rPr>
        <w:t>重庆市南岸区四公里万凯新都会B栋11-2</w:t>
      </w:r>
    </w:p>
    <w:p w14:paraId="212E7A38">
      <w:pPr>
        <w:keepNext w:val="0"/>
        <w:keepLines w:val="0"/>
        <w:pageBreakBefore w:val="0"/>
        <w:widowControl w:val="0"/>
        <w:kinsoku/>
        <w:wordWrap/>
        <w:overflowPunct/>
        <w:topLinePunct w:val="0"/>
        <w:autoSpaceDE/>
        <w:autoSpaceDN/>
        <w:bidi w:val="0"/>
        <w:adjustRightInd/>
        <w:spacing w:line="400" w:lineRule="exact"/>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九</w:t>
      </w:r>
      <w:r>
        <w:rPr>
          <w:rFonts w:hint="eastAsia" w:ascii="仿宋" w:hAnsi="仿宋" w:eastAsia="仿宋" w:cs="仿宋"/>
          <w:color w:val="auto"/>
          <w:sz w:val="24"/>
          <w:szCs w:val="24"/>
          <w:highlight w:val="none"/>
        </w:rPr>
        <w:t>）比选地点：</w:t>
      </w:r>
      <w:r>
        <w:rPr>
          <w:rFonts w:hint="eastAsia" w:ascii="仿宋" w:hAnsi="仿宋" w:eastAsia="仿宋" w:cs="仿宋"/>
          <w:b/>
          <w:bCs/>
          <w:color w:val="auto"/>
          <w:sz w:val="24"/>
          <w:szCs w:val="24"/>
          <w:highlight w:val="none"/>
        </w:rPr>
        <w:t>同递交</w:t>
      </w:r>
      <w:r>
        <w:rPr>
          <w:rFonts w:hint="eastAsia" w:ascii="仿宋" w:hAnsi="仿宋" w:eastAsia="仿宋" w:cs="仿宋"/>
          <w:b/>
          <w:bCs/>
          <w:color w:val="auto"/>
          <w:sz w:val="24"/>
          <w:szCs w:val="24"/>
          <w:highlight w:val="none"/>
          <w:lang w:eastAsia="zh-CN"/>
        </w:rPr>
        <w:t>响应文件</w:t>
      </w:r>
      <w:r>
        <w:rPr>
          <w:rFonts w:hint="eastAsia" w:ascii="仿宋" w:hAnsi="仿宋" w:eastAsia="仿宋" w:cs="仿宋"/>
          <w:b/>
          <w:bCs/>
          <w:color w:val="auto"/>
          <w:sz w:val="24"/>
          <w:szCs w:val="24"/>
          <w:highlight w:val="none"/>
        </w:rPr>
        <w:t>地点。</w:t>
      </w:r>
    </w:p>
    <w:bookmarkEnd w:id="10"/>
    <w:bookmarkEnd w:id="11"/>
    <w:bookmarkEnd w:id="12"/>
    <w:bookmarkEnd w:id="13"/>
    <w:bookmarkEnd w:id="14"/>
    <w:bookmarkEnd w:id="15"/>
    <w:p w14:paraId="4EECE268">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22" w:name="_Toc2043"/>
      <w:r>
        <w:rPr>
          <w:rFonts w:hint="eastAsia" w:ascii="仿宋" w:hAnsi="仿宋" w:eastAsia="仿宋" w:cs="仿宋"/>
          <w:b/>
          <w:color w:val="auto"/>
          <w:kern w:val="2"/>
          <w:sz w:val="24"/>
          <w:szCs w:val="24"/>
          <w:highlight w:val="none"/>
          <w:lang w:val="en-US" w:eastAsia="zh-CN" w:bidi="ar-SA"/>
        </w:rPr>
        <w:t>五、比选保证金</w:t>
      </w:r>
      <w:bookmarkEnd w:id="16"/>
      <w:bookmarkEnd w:id="17"/>
      <w:bookmarkEnd w:id="18"/>
      <w:bookmarkEnd w:id="19"/>
      <w:bookmarkEnd w:id="20"/>
      <w:bookmarkEnd w:id="21"/>
      <w:bookmarkEnd w:id="22"/>
    </w:p>
    <w:p w14:paraId="1AD36B3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本项目不收取比选保证金。</w:t>
      </w:r>
    </w:p>
    <w:p w14:paraId="62650A3F">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23" w:name="_Toc24999"/>
      <w:bookmarkStart w:id="24" w:name="_Toc2967"/>
      <w:bookmarkStart w:id="25" w:name="_Toc41896029"/>
      <w:bookmarkStart w:id="26" w:name="_Toc8089"/>
      <w:bookmarkStart w:id="27" w:name="_Toc20652"/>
      <w:bookmarkStart w:id="28" w:name="_Toc26638"/>
      <w:bookmarkStart w:id="29" w:name="_Toc26138"/>
      <w:r>
        <w:rPr>
          <w:rFonts w:hint="eastAsia" w:ascii="仿宋" w:hAnsi="仿宋" w:eastAsia="仿宋" w:cs="仿宋"/>
          <w:b/>
          <w:color w:val="auto"/>
          <w:kern w:val="2"/>
          <w:sz w:val="24"/>
          <w:szCs w:val="24"/>
          <w:highlight w:val="none"/>
          <w:lang w:val="en-US" w:eastAsia="zh-CN" w:bidi="ar-SA"/>
        </w:rPr>
        <w:t>六、其它有关规定</w:t>
      </w:r>
      <w:bookmarkEnd w:id="23"/>
      <w:bookmarkEnd w:id="24"/>
      <w:bookmarkEnd w:id="25"/>
      <w:bookmarkEnd w:id="26"/>
      <w:bookmarkEnd w:id="27"/>
      <w:bookmarkEnd w:id="28"/>
      <w:bookmarkEnd w:id="29"/>
    </w:p>
    <w:p w14:paraId="79B665E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（一）单位负责人为同一人或者存在直接控股、管理关系的不同供应商，不得参加同一合同项（分包）下的比选活动，否则均为无效比选。</w:t>
      </w:r>
    </w:p>
    <w:p w14:paraId="0903D25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（二）为项目提供整体设计、规范编制或者项目管理、监理、检测等服务的供应商，不得再参加该项目的其他比选活动。</w:t>
      </w:r>
    </w:p>
    <w:p w14:paraId="5CF7E87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本项目的补遗文件（如果有）一律在重庆市子漫人力资源服务有限公司官网（https://www.cqzmwsrc.com/）上发布，请各供应商注意自行下载；无论供应商下载与否，均视同供应商已知晓本项目补遗文件（如果有）的内容。</w:t>
      </w:r>
    </w:p>
    <w:p w14:paraId="36607A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（四）超过比选文件截止时间递交的响应文件，恕不接收。</w:t>
      </w:r>
    </w:p>
    <w:p w14:paraId="6ADFBF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（五）比选费用：无论比选结果如何，供应商参与本项目比选的所有费用均应由供应商自行承担。</w:t>
      </w:r>
    </w:p>
    <w:p w14:paraId="7882F98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（六）本项目不接受联合体参与比选，否则按无效处理。</w:t>
      </w:r>
    </w:p>
    <w:p w14:paraId="47E781D7">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（七）本项目不接受合同分包，否则按无效处理。</w:t>
      </w:r>
    </w:p>
    <w:p w14:paraId="34CD34C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（八）列入失信被执行人、重大税收违法案件当事人名单、政府采购严重违法失信行为记录名单及其他不符合《中华人民共和国政府采购法》第二十二条规定条件的供应商，将拒绝其参与比选活动。</w:t>
      </w:r>
    </w:p>
    <w:p w14:paraId="066E85E1">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30" w:name="_Toc24760"/>
      <w:bookmarkStart w:id="31" w:name="_Toc1801"/>
      <w:bookmarkStart w:id="32" w:name="_Toc41896030"/>
      <w:bookmarkStart w:id="33" w:name="_Toc10824"/>
      <w:bookmarkStart w:id="34" w:name="_Toc1273"/>
      <w:bookmarkStart w:id="35" w:name="_Toc9761"/>
      <w:bookmarkStart w:id="36" w:name="_Toc20501"/>
      <w:r>
        <w:rPr>
          <w:rFonts w:hint="eastAsia" w:ascii="仿宋" w:hAnsi="仿宋" w:eastAsia="仿宋" w:cs="仿宋"/>
          <w:b/>
          <w:color w:val="auto"/>
          <w:kern w:val="2"/>
          <w:sz w:val="24"/>
          <w:szCs w:val="24"/>
          <w:highlight w:val="none"/>
          <w:lang w:val="en-US" w:eastAsia="zh-CN" w:bidi="ar-SA"/>
        </w:rPr>
        <w:t>七、联系方式</w:t>
      </w:r>
      <w:bookmarkEnd w:id="30"/>
      <w:bookmarkEnd w:id="31"/>
      <w:bookmarkEnd w:id="32"/>
      <w:bookmarkEnd w:id="33"/>
      <w:bookmarkEnd w:id="34"/>
      <w:bookmarkEnd w:id="35"/>
      <w:bookmarkEnd w:id="36"/>
    </w:p>
    <w:p w14:paraId="431AEEE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（一）采购人：重庆市子漫人力资源服务有限公司、重庆市子漫人力资源服务有限公司伊顿物业分公司</w:t>
      </w:r>
    </w:p>
    <w:p w14:paraId="194738E3">
      <w:pPr>
        <w:pageBreakBefore w:val="0"/>
        <w:kinsoku/>
        <w:wordWrap/>
        <w:overflowPunct/>
        <w:topLinePunct w:val="0"/>
        <w:autoSpaceDE/>
        <w:autoSpaceDN/>
        <w:bidi w:val="0"/>
        <w:snapToGrid w:val="0"/>
        <w:spacing w:line="40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联系人：张老师  孙老师</w:t>
      </w:r>
    </w:p>
    <w:p w14:paraId="1D66DF6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  话：17708387718  15123227640</w:t>
      </w:r>
    </w:p>
    <w:p w14:paraId="29B06A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  址：重庆市两江新区春华大道99号中国重庆人力资源服务产业园北区6号楼</w:t>
      </w:r>
    </w:p>
    <w:p w14:paraId="6C73F6E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（二）采购代理机构：重庆市聚创招标代理有限公司</w:t>
      </w:r>
    </w:p>
    <w:p w14:paraId="5FA1C6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联系人：孙伟 黄希 张文艺 邹妍妍</w:t>
      </w:r>
    </w:p>
    <w:p w14:paraId="3CAC0DD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电话： 17830748319</w:t>
      </w:r>
    </w:p>
    <w:p w14:paraId="533C32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地址：重庆市南岸区四公里万凯新都会B栋11-2</w:t>
      </w:r>
    </w:p>
    <w:p w14:paraId="59A4AAE2">
      <w:pPr>
        <w:pStyle w:val="2"/>
        <w:pageBreakBefore w:val="0"/>
        <w:kinsoku/>
        <w:wordWrap/>
        <w:overflowPunct/>
        <w:topLinePunct w:val="0"/>
        <w:autoSpaceDE/>
        <w:autoSpaceDN/>
        <w:bidi w:val="0"/>
        <w:spacing w:before="0" w:beforeLines="0" w:after="0" w:afterLines="0" w:line="400" w:lineRule="exact"/>
        <w:textAlignment w:val="auto"/>
        <w:rPr>
          <w:rFonts w:hint="eastAsia" w:ascii="仿宋" w:hAnsi="仿宋" w:eastAsia="仿宋" w:cs="仿宋"/>
          <w:color w:val="auto"/>
          <w:sz w:val="24"/>
          <w:szCs w:val="24"/>
          <w:highlight w:val="none"/>
        </w:rPr>
      </w:pPr>
      <w:bookmarkStart w:id="37" w:name="_Toc30387"/>
      <w:r>
        <w:rPr>
          <w:rFonts w:hint="eastAsia" w:ascii="仿宋" w:hAnsi="仿宋" w:eastAsia="仿宋" w:cs="仿宋"/>
          <w:color w:val="auto"/>
          <w:sz w:val="24"/>
          <w:szCs w:val="24"/>
          <w:highlight w:val="none"/>
        </w:rPr>
        <w:br w:type="page"/>
      </w:r>
      <w:bookmarkStart w:id="38" w:name="_Toc14516"/>
      <w:bookmarkStart w:id="39" w:name="_Toc1292"/>
      <w:bookmarkStart w:id="40" w:name="_Toc65660338"/>
      <w:bookmarkStart w:id="41" w:name="_Toc11327"/>
      <w:bookmarkStart w:id="42" w:name="_Toc735"/>
      <w:bookmarkStart w:id="43" w:name="_Toc3739"/>
    </w:p>
    <w:p w14:paraId="348C1D70">
      <w:pPr>
        <w:pStyle w:val="2"/>
        <w:pageBreakBefore w:val="0"/>
        <w:kinsoku/>
        <w:wordWrap/>
        <w:overflowPunct/>
        <w:topLinePunct w:val="0"/>
        <w:autoSpaceDE/>
        <w:autoSpaceDN/>
        <w:bidi w:val="0"/>
        <w:spacing w:before="0" w:beforeLines="0" w:after="0" w:afterLines="0" w:line="400" w:lineRule="exact"/>
        <w:textAlignment w:val="auto"/>
        <w:rPr>
          <w:rFonts w:hint="eastAsia" w:ascii="仿宋" w:hAnsi="仿宋" w:eastAsia="仿宋" w:cs="仿宋"/>
          <w:color w:val="auto"/>
          <w:sz w:val="24"/>
          <w:szCs w:val="24"/>
          <w:highlight w:val="none"/>
        </w:rPr>
      </w:pPr>
    </w:p>
    <w:p w14:paraId="2B8F0353">
      <w:pPr>
        <w:pStyle w:val="2"/>
        <w:keepNext/>
        <w:keepLines w:val="0"/>
        <w:pageBreakBefore w:val="0"/>
        <w:widowControl w:val="0"/>
        <w:kinsoku/>
        <w:wordWrap/>
        <w:overflowPunct/>
        <w:topLinePunct w:val="0"/>
        <w:autoSpaceDE/>
        <w:autoSpaceDN/>
        <w:bidi w:val="0"/>
        <w:adjustRightInd/>
        <w:snapToGrid w:val="0"/>
        <w:spacing w:before="0" w:beforeLines="0" w:after="0" w:afterLines="0" w:line="360" w:lineRule="auto"/>
        <w:textAlignment w:val="auto"/>
        <w:rPr>
          <w:rFonts w:hint="eastAsia" w:ascii="仿宋" w:hAnsi="仿宋" w:eastAsia="仿宋" w:cs="仿宋"/>
          <w:color w:val="auto"/>
          <w:highlight w:val="none"/>
        </w:rPr>
      </w:pPr>
      <w:r>
        <w:rPr>
          <w:rFonts w:hint="eastAsia" w:ascii="仿宋" w:hAnsi="仿宋" w:eastAsia="仿宋" w:cs="仿宋"/>
          <w:b/>
          <w:bCs/>
          <w:color w:val="auto"/>
          <w:sz w:val="44"/>
          <w:szCs w:val="44"/>
          <w:highlight w:val="none"/>
        </w:rPr>
        <w:t xml:space="preserve">第二篇  </w:t>
      </w:r>
      <w:bookmarkEnd w:id="38"/>
      <w:bookmarkEnd w:id="39"/>
      <w:bookmarkEnd w:id="40"/>
      <w:bookmarkEnd w:id="41"/>
      <w:r>
        <w:rPr>
          <w:rFonts w:hint="eastAsia" w:ascii="仿宋" w:hAnsi="仿宋" w:eastAsia="仿宋" w:cs="仿宋"/>
          <w:b/>
          <w:bCs/>
          <w:color w:val="auto"/>
          <w:sz w:val="44"/>
          <w:szCs w:val="44"/>
          <w:highlight w:val="none"/>
        </w:rPr>
        <w:t>项目</w:t>
      </w:r>
      <w:r>
        <w:rPr>
          <w:rFonts w:hint="eastAsia" w:ascii="仿宋" w:hAnsi="仿宋" w:eastAsia="仿宋" w:cs="仿宋"/>
          <w:b/>
          <w:bCs/>
          <w:color w:val="auto"/>
          <w:sz w:val="44"/>
          <w:szCs w:val="44"/>
          <w:highlight w:val="none"/>
          <w:lang w:val="en-US" w:eastAsia="zh-CN"/>
        </w:rPr>
        <w:t>服务</w:t>
      </w:r>
      <w:r>
        <w:rPr>
          <w:rFonts w:hint="eastAsia" w:ascii="仿宋" w:hAnsi="仿宋" w:eastAsia="仿宋" w:cs="仿宋"/>
          <w:b/>
          <w:bCs/>
          <w:color w:val="auto"/>
          <w:sz w:val="44"/>
          <w:szCs w:val="44"/>
          <w:highlight w:val="none"/>
        </w:rPr>
        <w:t>需求</w:t>
      </w:r>
      <w:bookmarkEnd w:id="42"/>
      <w:bookmarkEnd w:id="43"/>
      <w:bookmarkStart w:id="174" w:name="_GoBack"/>
      <w:bookmarkEnd w:id="174"/>
    </w:p>
    <w:p w14:paraId="1FC36825">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44" w:name="_Toc446"/>
      <w:bookmarkStart w:id="45" w:name="_Toc65660339"/>
      <w:bookmarkStart w:id="46" w:name="_Toc181"/>
      <w:bookmarkStart w:id="47" w:name="_Toc26971"/>
      <w:bookmarkStart w:id="48" w:name="_Toc477"/>
      <w:bookmarkStart w:id="49" w:name="_Toc24129"/>
      <w:r>
        <w:rPr>
          <w:rFonts w:hint="eastAsia" w:ascii="仿宋" w:hAnsi="仿宋" w:eastAsia="仿宋" w:cs="仿宋"/>
          <w:b/>
          <w:color w:val="auto"/>
          <w:kern w:val="2"/>
          <w:sz w:val="24"/>
          <w:szCs w:val="24"/>
          <w:lang w:val="en-US" w:eastAsia="zh-CN" w:bidi="ar-SA"/>
        </w:rPr>
        <w:t>一、项目一览表</w:t>
      </w:r>
      <w:bookmarkEnd w:id="44"/>
      <w:bookmarkEnd w:id="45"/>
      <w:bookmarkEnd w:id="46"/>
      <w:bookmarkEnd w:id="47"/>
      <w:bookmarkEnd w:id="48"/>
      <w:bookmarkEnd w:id="49"/>
    </w:p>
    <w:tbl>
      <w:tblPr>
        <w:tblStyle w:val="24"/>
        <w:tblW w:w="10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4516"/>
        <w:gridCol w:w="1927"/>
        <w:gridCol w:w="2915"/>
      </w:tblGrid>
      <w:tr w14:paraId="6CC6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00" w:type="dxa"/>
            <w:vAlign w:val="center"/>
          </w:tcPr>
          <w:p w14:paraId="2DAC500F">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序号</w:t>
            </w:r>
          </w:p>
        </w:tc>
        <w:tc>
          <w:tcPr>
            <w:tcW w:w="4516" w:type="dxa"/>
            <w:vAlign w:val="center"/>
          </w:tcPr>
          <w:p w14:paraId="7375696B">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项目名称</w:t>
            </w:r>
          </w:p>
        </w:tc>
        <w:tc>
          <w:tcPr>
            <w:tcW w:w="1927" w:type="dxa"/>
            <w:vAlign w:val="center"/>
          </w:tcPr>
          <w:p w14:paraId="380C15F0">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数量/单位</w:t>
            </w:r>
          </w:p>
        </w:tc>
        <w:tc>
          <w:tcPr>
            <w:tcW w:w="2915" w:type="dxa"/>
            <w:vAlign w:val="center"/>
          </w:tcPr>
          <w:p w14:paraId="62AB7DB4">
            <w:pPr>
              <w:keepNext w:val="0"/>
              <w:keepLines w:val="0"/>
              <w:pageBreakBefore w:val="0"/>
              <w:widowControl w:val="0"/>
              <w:kinsoku/>
              <w:wordWrap/>
              <w:overflowPunct/>
              <w:topLinePunct w:val="0"/>
              <w:autoSpaceDE/>
              <w:autoSpaceDN/>
              <w:bidi w:val="0"/>
              <w:adjustRightInd/>
              <w:snapToGrid/>
              <w:spacing w:line="400" w:lineRule="exact"/>
              <w:ind w:firstLine="960" w:firstLineChars="4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备注</w:t>
            </w:r>
          </w:p>
        </w:tc>
      </w:tr>
      <w:tr w14:paraId="4C77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00" w:type="dxa"/>
            <w:vAlign w:val="center"/>
          </w:tcPr>
          <w:p w14:paraId="1D0AE905">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4516" w:type="dxa"/>
            <w:vAlign w:val="center"/>
          </w:tcPr>
          <w:p w14:paraId="41549E41">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物业公众责任险及附加险采购</w:t>
            </w:r>
          </w:p>
        </w:tc>
        <w:tc>
          <w:tcPr>
            <w:tcW w:w="1927" w:type="dxa"/>
            <w:vAlign w:val="center"/>
          </w:tcPr>
          <w:p w14:paraId="0FDAB58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1项</w:t>
            </w:r>
          </w:p>
        </w:tc>
        <w:tc>
          <w:tcPr>
            <w:tcW w:w="2915" w:type="dxa"/>
            <w:vAlign w:val="center"/>
          </w:tcPr>
          <w:p w14:paraId="14EE83B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具体内容详见下文</w:t>
            </w:r>
          </w:p>
        </w:tc>
      </w:tr>
    </w:tbl>
    <w:p w14:paraId="4D10FD6C">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50" w:name="_Toc16322"/>
      <w:bookmarkStart w:id="51" w:name="_Toc18965"/>
      <w:r>
        <w:rPr>
          <w:rFonts w:hint="eastAsia" w:ascii="仿宋" w:hAnsi="仿宋" w:eastAsia="仿宋" w:cs="仿宋"/>
          <w:b/>
          <w:color w:val="auto"/>
          <w:kern w:val="2"/>
          <w:sz w:val="24"/>
          <w:szCs w:val="24"/>
          <w:lang w:val="en-US" w:eastAsia="zh-CN" w:bidi="ar-SA"/>
        </w:rPr>
        <w:t>二、项目服务内容及要求</w:t>
      </w:r>
      <w:bookmarkEnd w:id="50"/>
      <w:bookmarkEnd w:id="51"/>
    </w:p>
    <w:p w14:paraId="51F33DF2">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auto"/>
          <w:sz w:val="24"/>
          <w:szCs w:val="24"/>
          <w:highlight w:val="none"/>
          <w:lang w:val="en-US" w:eastAsia="zh-CN"/>
        </w:rPr>
      </w:pPr>
      <w:bookmarkStart w:id="52" w:name="_Toc9689"/>
      <w:bookmarkStart w:id="53" w:name="_Toc13349"/>
      <w:bookmarkStart w:id="54" w:name="_Toc7781"/>
      <w:bookmarkStart w:id="55" w:name="_Toc20835"/>
      <w:bookmarkStart w:id="56" w:name="_Toc23161"/>
      <w:r>
        <w:rPr>
          <w:rFonts w:hint="eastAsia" w:ascii="仿宋" w:hAnsi="仿宋" w:eastAsia="仿宋" w:cs="仿宋"/>
          <w:color w:val="auto"/>
          <w:sz w:val="24"/>
          <w:szCs w:val="24"/>
          <w:highlight w:val="none"/>
          <w:lang w:val="en-US" w:eastAsia="zh-CN"/>
        </w:rPr>
        <w:t>（一）服务内容</w:t>
      </w:r>
      <w:bookmarkEnd w:id="52"/>
      <w:bookmarkEnd w:id="53"/>
      <w:bookmarkEnd w:id="54"/>
      <w:bookmarkEnd w:id="55"/>
      <w:bookmarkEnd w:id="56"/>
    </w:p>
    <w:tbl>
      <w:tblPr>
        <w:tblStyle w:val="24"/>
        <w:tblpPr w:leftFromText="180" w:rightFromText="180" w:vertAnchor="text" w:horzAnchor="page" w:tblpXSpec="center" w:tblpY="315"/>
        <w:tblOverlap w:val="never"/>
        <w:tblW w:w="93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4"/>
        <w:gridCol w:w="1305"/>
        <w:gridCol w:w="1560"/>
        <w:gridCol w:w="4577"/>
        <w:gridCol w:w="1301"/>
      </w:tblGrid>
      <w:tr w14:paraId="3981DAA2">
        <w:tblPrEx>
          <w:tblCellMar>
            <w:top w:w="0" w:type="dxa"/>
            <w:left w:w="108" w:type="dxa"/>
            <w:bottom w:w="0" w:type="dxa"/>
            <w:right w:w="108" w:type="dxa"/>
          </w:tblCellMar>
        </w:tblPrEx>
        <w:trPr>
          <w:trHeight w:val="616"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51801AD8">
            <w:pPr>
              <w:keepNext w:val="0"/>
              <w:keepLines w:val="0"/>
              <w:pageBreakBefore w:val="0"/>
              <w:widowControl/>
              <w:suppressLineNumbers w:val="0"/>
              <w:kinsoku/>
              <w:wordWrap/>
              <w:overflowPunct/>
              <w:topLinePunct w:val="0"/>
              <w:autoSpaceDE/>
              <w:autoSpaceDN/>
              <w:bidi w:val="0"/>
              <w:spacing w:line="400" w:lineRule="exact"/>
              <w:jc w:val="both"/>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2DFA580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项目名称</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214A47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保障范围</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075BF44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保险责任及限额</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6A9E6C7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含税金额</w:t>
            </w:r>
          </w:p>
          <w:p w14:paraId="720C628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（元/年)</w:t>
            </w:r>
          </w:p>
        </w:tc>
      </w:tr>
      <w:tr w14:paraId="190C4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0823DAC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6589815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项目一</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F954DA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火灾责任险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1DA643E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累计赔偿限额：600万元,每次事故赔偿限额：300万元,每次事故人身伤亡赔偿限额：200万元,每次事故每人人身伤亡赔偿限额：60万元（其中含医疗费用赔偿限额：5万元）,每次事故财产损失赔偿限额：100万元,每次事故每人财产损失赔偿限额：5万元</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59C4980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8580</w:t>
            </w:r>
          </w:p>
        </w:tc>
      </w:tr>
      <w:tr w14:paraId="3C64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CFC7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12B7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14030B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2C894C1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限额：102万元,每次事故赔偿限额：102万元，每次事故人身伤亡赔偿限额：100万元,每次事故每人人身伤亡赔偿限额：20万元（其中含医疗费用赔偿限额：2万元）,每次事故财产损失赔偿限额：2万元。</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D9EB2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43450</w:t>
            </w:r>
          </w:p>
        </w:tc>
      </w:tr>
      <w:tr w14:paraId="5C900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89179">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B531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086B98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停车场责任险（1692个）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4BD512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累计赔偿限额200万元，每次事故赔偿限额30万元；每次事故每车位赔偿限额：2万元；车辆划痕每次事故每车位赔偿限额1万元，划痕累计赔偿限4万元。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9ACE00">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2B0BF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94AD3">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FC4B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9F0255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（52部）</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235B593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累计限额：102万元,每次事故赔偿限额：102万元,每次事故人身伤亡赔偿限额：100万元,每次事故每人人身伤亡赔偿限额：20万元（其中含医疗费用赔偿限额：2万元）,每次事故财产损失赔偿限额：2万元。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6DDB21">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3493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2A10AD4F">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15A31BB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项目二</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4DFBF5C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6F8F7D1C">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480万元,每次事故每人人身伤亡赔偿限额：50万元（其中含医疗费用赔偿限额：5万元）,每次事故财产损失赔偿限额：20万元,每次事故每人财产损失赔偿限额：0.5万元。</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1DF0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11660</w:t>
            </w:r>
          </w:p>
        </w:tc>
      </w:tr>
      <w:tr w14:paraId="2D9DE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31B8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98CCE9">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55F37D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（360个)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5D5297F">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累计限额300万元，每次事故赔偿限额50万元；每次事故每车位赔偿限额：10万元；车辆划痕每次事故每车位赔偿限额0.2万元，划痕累计赔偿限2万元。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FAD8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2737C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044F1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16AEE0">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A30E8A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(8部）</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675E901B">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480万元,每次事故每人人身伤亡赔偿限额：50万元（其中含医疗费用赔偿限额：5万元）,每次事故财产损失赔偿限额：20万元,每次事故每人财产损失赔偿限额：0.5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F1A6E">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0C55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2956C4">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D8FBF">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CB47FE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火灾和爆炸责任险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9105A3C">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480万元,每次事故每人人身伤亡赔偿限额：50万元（其中含医疗费用赔偿限额：5万元）,每次事故财产损失赔偿限额：20万元,每次事故每人财产损失赔偿限额：0.5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AD3A8">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6ECA6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37CD8B2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30D9BD5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项目三</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79DAB9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21B9FDAF">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150万元,每次事故每人人身伤亡赔偿限额：50万元（其中含医疗费用赔偿限额：5万元）,每次事故财产损失赔偿限额：20万元,每次事故每人财产损失赔偿限额：0.5万元。</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23B2E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11000</w:t>
            </w:r>
          </w:p>
        </w:tc>
      </w:tr>
      <w:tr w14:paraId="22641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A906B">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5D677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4A43D0C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（343）</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116CB99">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累计限额300万元，每次事故赔偿限额50万元；每次事故每车位赔偿限额：10万元；车辆划痕每次事故每车位赔偿限额0.2万元，划痕累计赔偿限2万元。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56B81A">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176EE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D5A99">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DCC28">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D66DB3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火灾和爆炸责任险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442A09F9">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1000万元,每次事故赔偿限额：500万元,每次事故人身伤亡赔偿限额：150万元,每次事故每人人身伤亡赔偿限额：50万元（其中含医疗费用赔偿限额：5万元）,每次事故财产损失赔偿限额：20万元,每次事故每人财产损失赔偿限额：0.5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7A985">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45BCA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restart"/>
            <w:tcBorders>
              <w:top w:val="single" w:color="000000" w:sz="4" w:space="0"/>
              <w:left w:val="single" w:color="000000" w:sz="4" w:space="0"/>
              <w:right w:val="single" w:color="000000" w:sz="4" w:space="0"/>
            </w:tcBorders>
            <w:noWrap w:val="0"/>
            <w:vAlign w:val="center"/>
          </w:tcPr>
          <w:p w14:paraId="42DC369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1305" w:type="dxa"/>
            <w:vMerge w:val="restart"/>
            <w:tcBorders>
              <w:top w:val="single" w:color="000000" w:sz="4" w:space="0"/>
              <w:left w:val="single" w:color="000000" w:sz="4" w:space="0"/>
              <w:right w:val="single" w:color="000000" w:sz="4" w:space="0"/>
            </w:tcBorders>
            <w:noWrap w:val="0"/>
            <w:vAlign w:val="center"/>
          </w:tcPr>
          <w:p w14:paraId="00B1F4C2">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项目四</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F4ADB1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27013D81">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限额：200万元,每次事故赔偿限额：100万元,每次事故人身伤亡赔偿限额：80万元,每次事故每人人身伤亡赔偿限额：20万元（其中含医疗费用赔偿限额：2万元）,每次事故财产损失赔偿限额：20万元,每次事故每人财产损失赔偿限额：0.5万元。</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74F7CCE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2860</w:t>
            </w:r>
          </w:p>
        </w:tc>
      </w:tr>
      <w:tr w14:paraId="365B3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2" w:hRule="atLeast"/>
          <w:jc w:val="center"/>
        </w:trPr>
        <w:tc>
          <w:tcPr>
            <w:tcW w:w="654" w:type="dxa"/>
            <w:vMerge w:val="continue"/>
            <w:tcBorders>
              <w:left w:val="single" w:color="000000" w:sz="4" w:space="0"/>
              <w:bottom w:val="single" w:color="000000" w:sz="4" w:space="0"/>
              <w:right w:val="single" w:color="000000" w:sz="4" w:space="0"/>
            </w:tcBorders>
            <w:noWrap w:val="0"/>
            <w:vAlign w:val="center"/>
          </w:tcPr>
          <w:p w14:paraId="1CF66D4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305" w:type="dxa"/>
            <w:vMerge w:val="continue"/>
            <w:tcBorders>
              <w:left w:val="single" w:color="000000" w:sz="4" w:space="0"/>
              <w:bottom w:val="single" w:color="000000" w:sz="4" w:space="0"/>
              <w:right w:val="single" w:color="000000" w:sz="4" w:space="0"/>
            </w:tcBorders>
            <w:noWrap w:val="0"/>
            <w:vAlign w:val="center"/>
          </w:tcPr>
          <w:p w14:paraId="2798C0F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0B2B309">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公众责任险及附加停车场责任险、附加电梯责任险、附加火灾爆炸</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FB3653A">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主险：累计赔偿限额：200万 每次事故赔偿限额：100 万 每次事故人身伤亡责任限额：80万 每次事故每人人身伤亡责任限额：20万 每次事故每人医疗责任限额：2万 每次事故财产赔偿限额：10万 每次事故每人财产赔偿限额：0.5万 </w:t>
            </w:r>
          </w:p>
          <w:p w14:paraId="66171301">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（2）附加险（名称及限额）：1）附加停车场责任险2）附加电梯责任险（7部）：保额同主险。3）附加火灾爆炸：保额 同主险 </w:t>
            </w:r>
          </w:p>
          <w:p w14:paraId="0DD150F3">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（3）特约： 1.本保单项下《附加停车场责任险》：（1）累计赔偿限额200万，每次事故赔偿限额100万，每次事故每车位赔偿限额10万元（其中停放划痕和停放被撞每次事故限额2000元，累计限额2万）。（2）全车盗抢责任绝对免赔率为30%。（3）本保单承保车位共 182个（不含机械式停车位），</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4502820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5000</w:t>
            </w:r>
          </w:p>
        </w:tc>
      </w:tr>
      <w:tr w14:paraId="3BE64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7840CA18">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4C52B63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项目五</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CCC7F8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0920B7CE">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全年限额500万，每次事故限额500万；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每次事故财产损失100万，每次人身伤亡400万，每次每人50万(其中医疗5万元)，财产损失1万</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35E8AF8D">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6600</w:t>
            </w:r>
          </w:p>
        </w:tc>
      </w:tr>
      <w:tr w14:paraId="26BEB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44935C8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49EC4BD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项目六</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BF04E5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（150个）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438DD9C7">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累计赔偿限额200万元，每次事故赔偿限额30万元;每次事故每车位赔偿限额:3万元;车辆划痕每次事故每车位赔偿限额1万元</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3C6701">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3300</w:t>
            </w:r>
          </w:p>
        </w:tc>
      </w:tr>
      <w:tr w14:paraId="2DC46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DBBE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7A978">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2A909E5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（2台）</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3FD9728">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全年500万元，每次500万元；每次事故人身伤亡赔偿限额:480万，每次每人人身伤亡赔偿限额:50万元(其中含医疗5万元)，每次事故财产损失赔偿限额20万元，每次事故每人财产损失赔偿限额:0.5万元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583E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582DB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2315F3DF">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7</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6809AC9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项目七</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52CEC0F0">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53C730C">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全年限额500万，每次事故限额500万；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每次事故财产损失100万，每次人身伤亡400万，每次每人50万(其中医疗5万元)，财产损失1万</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9FAA8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6193</w:t>
            </w:r>
          </w:p>
        </w:tc>
      </w:tr>
      <w:tr w14:paraId="785A8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E74B4">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47EEC">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181578A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（25个）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EE54B76">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累计赔偿限额200万元，每次事故赔偿限额30万元;每次事故每车位赔偿限额:2万元;车辆划痕每次事故每车位赔偿限额0.2万元，划痕累计赔偿限2万元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5875F">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6E54A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765E7">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A3013E">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693F983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（1台）</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1B684E07">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全年500万元，每次500万元；每次事故人身伤亡赔偿限额:480万，每次每人人身伤亡赔偿限额:50万元(其中含医疗5万元)，每次事故财产损失赔偿限额20万元，每次事故每人财产损失赔偿限额:1万元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B0D46F">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21AA8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7A7A798B">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1DD7E9EA">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项目八</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3F83EDE7">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7C3A4412">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全年限额500万，每次事故限额500万；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每次事故财产损失100万，每次人身伤亡400万，每次每人50万(其中医疗5万元)，财产损失1万</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71EC22">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8415</w:t>
            </w:r>
          </w:p>
        </w:tc>
      </w:tr>
      <w:tr w14:paraId="5AFA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8FFE99">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F935E">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EDE539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（1台）</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E02245A">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全年500万元，每次500万元；每次事故人身伤亡赔偿限额:480万，每次每人人身伤亡赔偿限额:50万元(其中含医疗5万元)，每次事故财产损失赔偿限额20万元，每次事故每人财产损失赔偿限额:1万元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2A769B">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0978A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1FBFD8E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9</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14:paraId="578B6E5F">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项目九</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4EC5E22">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354C282B">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全年限额500万，每次事故限额500万；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每次事故财产损失100万，每次人身伤亡400万，每次每人50万(其中医疗5万元)，财产损失1万</w:t>
            </w:r>
          </w:p>
        </w:tc>
        <w:tc>
          <w:tcPr>
            <w:tcW w:w="1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78D3C41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31000</w:t>
            </w:r>
          </w:p>
        </w:tc>
      </w:tr>
      <w:tr w14:paraId="06A3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3A91D">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ACBB80">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A54948D">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停车场责任险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（794个）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4329E4B4">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累计赔偿限额200万元，每次事故赔偿限额30万元;每次事故每车位赔偿限额:2万元;车辆划痕每次事故每车位赔偿限额0.2万元，划痕累计赔偿限2万元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2CA562">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725BF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9"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805E4">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C04EE8">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04822833">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电梯责任险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（46台）</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62AAD31E">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全年500万元，每次500万元；每次事故人身伤亡赔偿限额:480万，每次每人人身伤亡赔偿限额:50万元(其中含医疗5万元)，每次事故财产损失赔偿限额20万元，每次事故每人财产损失赔偿限额:1万元</w:t>
            </w:r>
          </w:p>
        </w:tc>
        <w:tc>
          <w:tcPr>
            <w:tcW w:w="1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7D646">
            <w:pPr>
              <w:pageBreakBefore w:val="0"/>
              <w:kinsoku/>
              <w:wordWrap/>
              <w:overflowPunct/>
              <w:topLinePunct w:val="0"/>
              <w:autoSpaceDE/>
              <w:autoSpaceDN/>
              <w:bidi w:val="0"/>
              <w:spacing w:line="400" w:lineRule="exact"/>
              <w:jc w:val="center"/>
              <w:rPr>
                <w:rFonts w:hint="eastAsia" w:ascii="仿宋" w:hAnsi="仿宋" w:eastAsia="仿宋" w:cs="仿宋"/>
                <w:i w:val="0"/>
                <w:iCs w:val="0"/>
                <w:color w:val="000000"/>
                <w:sz w:val="24"/>
                <w:szCs w:val="24"/>
                <w:highlight w:val="none"/>
                <w:u w:val="none"/>
              </w:rPr>
            </w:pPr>
          </w:p>
        </w:tc>
      </w:tr>
      <w:tr w14:paraId="6F10B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103EAAF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3064A995">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项目十</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5E3186E">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（附加火灾、火灾爆炸险）</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68FC107D">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全年限额200万，每次事故限额100万；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每次事故财产损失10万，每次人身伤亡80万，每次每人20万(其中医疗2万元)，财产损失1万</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40193264">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19250</w:t>
            </w:r>
          </w:p>
        </w:tc>
      </w:tr>
      <w:tr w14:paraId="6EC2F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40F1DC3C">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11</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2BAEDE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项目十一</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ED45A">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公众责任险</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（附加火灾、火灾爆炸险）</w:t>
            </w:r>
          </w:p>
        </w:tc>
        <w:tc>
          <w:tcPr>
            <w:tcW w:w="45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0ED8C">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highlight w:val="none"/>
                <w:u w:val="none"/>
                <w:lang w:val="en-US" w:eastAsia="zh-CN" w:bidi="ar"/>
              </w:rPr>
              <w:t>全年限额100万元，每次事故限额100万</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每次事故人身伤亡赔偿限额90万元,每次事故每人人身伤亡赔偿限额10万元（其中含医疗费用赔偿限额2万元）</w:t>
            </w:r>
            <w:r>
              <w:rPr>
                <w:rFonts w:hint="eastAsia" w:ascii="仿宋" w:hAnsi="仿宋" w:eastAsia="仿宋" w:cs="仿宋"/>
                <w:i w:val="0"/>
                <w:iCs w:val="0"/>
                <w:color w:val="000000"/>
                <w:kern w:val="0"/>
                <w:sz w:val="24"/>
                <w:szCs w:val="24"/>
                <w:highlight w:val="none"/>
                <w:u w:val="none"/>
                <w:lang w:val="en-US" w:eastAsia="zh-CN" w:bidi="ar"/>
              </w:rPr>
              <w:br w:type="textWrapping"/>
            </w:r>
            <w:r>
              <w:rPr>
                <w:rFonts w:hint="eastAsia" w:ascii="仿宋" w:hAnsi="仿宋" w:eastAsia="仿宋" w:cs="仿宋"/>
                <w:i w:val="0"/>
                <w:iCs w:val="0"/>
                <w:color w:val="000000"/>
                <w:kern w:val="0"/>
                <w:sz w:val="24"/>
                <w:szCs w:val="24"/>
                <w:highlight w:val="none"/>
                <w:u w:val="none"/>
                <w:lang w:val="en-US" w:eastAsia="zh-CN" w:bidi="ar"/>
              </w:rPr>
              <w:t>每次事故财产损失限额10万元,每次事故每人财产损失赔偿限额1万元。</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5779C">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sz w:val="24"/>
                <w:szCs w:val="24"/>
                <w:highlight w:val="none"/>
                <w:u w:val="none"/>
                <w:lang w:val="en-US" w:eastAsia="zh-CN"/>
              </w:rPr>
              <w:t>3000</w:t>
            </w:r>
          </w:p>
        </w:tc>
      </w:tr>
      <w:tr w14:paraId="2B423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jc w:val="center"/>
        </w:trPr>
        <w:tc>
          <w:tcPr>
            <w:tcW w:w="654" w:type="dxa"/>
            <w:tcBorders>
              <w:top w:val="single" w:color="000000" w:sz="4" w:space="0"/>
              <w:left w:val="single" w:color="000000" w:sz="4" w:space="0"/>
              <w:bottom w:val="single" w:color="000000" w:sz="4" w:space="0"/>
              <w:right w:val="single" w:color="000000" w:sz="4" w:space="0"/>
            </w:tcBorders>
            <w:noWrap w:val="0"/>
            <w:vAlign w:val="center"/>
          </w:tcPr>
          <w:p w14:paraId="04519AF6">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12</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0FBF9D55">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项目十二</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14:paraId="7E019976">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公众责任险附加停车场责任(车位数量5770个）</w:t>
            </w:r>
          </w:p>
        </w:tc>
        <w:tc>
          <w:tcPr>
            <w:tcW w:w="4577" w:type="dxa"/>
            <w:tcBorders>
              <w:top w:val="single" w:color="000000" w:sz="4" w:space="0"/>
              <w:left w:val="single" w:color="000000" w:sz="4" w:space="0"/>
              <w:bottom w:val="single" w:color="000000" w:sz="4" w:space="0"/>
              <w:right w:val="single" w:color="000000" w:sz="4" w:space="0"/>
            </w:tcBorders>
            <w:noWrap w:val="0"/>
            <w:vAlign w:val="center"/>
          </w:tcPr>
          <w:p w14:paraId="1C6721B1">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1.主险：累计赔偿限额：500万 每次事故赔偿限额：200 万 每次事故人身伤亡责任限额：100万 每次事故每人人身伤亡责任限额：20万 每次事故每人医疗责任限额：2万 每次事故财产赔偿限额：1万 每次事故每人财产赔偿限额：0.5万 </w:t>
            </w:r>
          </w:p>
          <w:p w14:paraId="3F48D59A">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2.附加险（名称及限额）：附加停车场责任条款：保额同主险 。</w:t>
            </w:r>
          </w:p>
          <w:p w14:paraId="716DAEDB">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 xml:space="preserve">3.免赔：每次事故医疗费用，在被保险人依法应承担且符合国家基本医疗保险报销标准的医疗费用基础，扣除绝对免赔额200元后按照80%的比例在相应责任限额内赔付。每次事故财产损失绝对免赔额为500元或损失金额的10%，两者以高者为准。 </w:t>
            </w:r>
          </w:p>
          <w:p w14:paraId="38694E66">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4.特约：本保单承保区域为采购人指定的停车场区域。经保险双方约定，高空物体坠落导致的第三者损失，无论事故是否发生在划线车位内，均属于本保单承保范围；停车场区域内发生的车辆划痕、碰撞、盗抢等第三者财产损失，不在本保单保障范围内。</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14:paraId="63CBCF72">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sz w:val="24"/>
                <w:szCs w:val="24"/>
                <w:highlight w:val="none"/>
                <w:u w:val="none"/>
                <w:lang w:val="en-US" w:eastAsia="zh-CN"/>
              </w:rPr>
              <w:t>30000</w:t>
            </w:r>
          </w:p>
        </w:tc>
      </w:tr>
    </w:tbl>
    <w:p w14:paraId="5E7100C5">
      <w:pPr>
        <w:pageBreakBefore w:val="0"/>
        <w:kinsoku/>
        <w:wordWrap/>
        <w:overflowPunct/>
        <w:topLinePunct w:val="0"/>
        <w:autoSpaceDE/>
        <w:autoSpaceDN/>
        <w:bidi w:val="0"/>
        <w:spacing w:line="400" w:lineRule="exac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注：1.合同服务期内，采购人新增物业项目需投保公众责任险及附加险的，成交供应商须无条件承接，并按中标折扣报价结算保费，不得以任何理由拒绝或要求提高折扣报价。</w:t>
      </w:r>
    </w:p>
    <w:p w14:paraId="5D7FC5B2">
      <w:pPr>
        <w:pageBreakBefore w:val="0"/>
        <w:kinsoku/>
        <w:wordWrap/>
        <w:overflowPunct/>
        <w:topLinePunct w:val="0"/>
        <w:autoSpaceDE/>
        <w:autoSpaceDN/>
        <w:bidi w:val="0"/>
        <w:spacing w:line="400" w:lineRule="exact"/>
        <w:ind w:firstLine="482" w:firstLineChars="200"/>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2.若采购人有保险有效期未到期的公共责任险及附加险的，保险有效期到期之后成交供应商须无条件承接，并按中标折扣报价结算保费，不得以任何理由拒绝或要求提高折扣报价。</w:t>
      </w:r>
    </w:p>
    <w:p w14:paraId="4402AB9F">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（二）保险服务总体要求</w:t>
      </w:r>
    </w:p>
    <w:p w14:paraId="7E7A66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eastAsia="等线"/>
          <w:sz w:val="24"/>
          <w:szCs w:val="24"/>
          <w:highlight w:val="green"/>
          <w:lang w:eastAsia="zh-CN"/>
        </w:rPr>
      </w:pPr>
      <w:r>
        <w:rPr>
          <w:rFonts w:hint="eastAsia" w:ascii="仿宋" w:hAnsi="仿宋" w:eastAsia="仿宋" w:cs="仿宋"/>
          <w:color w:val="auto"/>
          <w:sz w:val="24"/>
          <w:szCs w:val="24"/>
          <w:highlight w:val="none"/>
          <w:lang w:val="en-US" w:eastAsia="zh-CN"/>
        </w:rPr>
        <w:t>1.保险期限：本项目保险期限为一年，自保险合同生效之日起计算，如遇特殊情况，服务期限以采购人实际需求为准。</w:t>
      </w:r>
    </w:p>
    <w:p w14:paraId="5DE4284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2.保单出具：成交供应商应在保险合同签订后5个工作日内，根据上述各项目需求分别出具正式保险单，并将保险单正本交付采购人。</w:t>
      </w:r>
    </w:p>
    <w:p w14:paraId="385D678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3.保险凭证：成交供应商应为采购人各项目分别提供保险凭证，确保各项目独立享有保险保障。</w:t>
      </w:r>
    </w:p>
    <w:p w14:paraId="67D5062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4.免赔额/免赔率：各险种免赔额（率）按上述各项目具体需求执行，未特别注明的按保险行业通行标准执行。</w:t>
      </w:r>
    </w:p>
    <w:p w14:paraId="01D10A9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5.供应商应在保险到期前30天书面通知采购人，并提供续保建议方案。</w:t>
      </w:r>
    </w:p>
    <w:p w14:paraId="44CA3080">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（三）理赔服务要求</w:t>
      </w:r>
    </w:p>
    <w:p w14:paraId="39EED27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1.对于采购人的报案及索赔申请，中标供应商均须迅速处理，按照下述理赔时效限制，在赔款金额确定后支付赔款：</w:t>
      </w:r>
    </w:p>
    <w:p w14:paraId="62987FC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RMB5万元以内赔款7个工作日内支付；</w:t>
      </w:r>
    </w:p>
    <w:p w14:paraId="184D881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RMB5万元（含）至RMB10万元以内赔款10个工作日内支付；</w:t>
      </w:r>
    </w:p>
    <w:p w14:paraId="54EB28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RMBXX10万元（含）至RMB50万元以内赔款15个工作日支付；</w:t>
      </w:r>
    </w:p>
    <w:p w14:paraId="51A2A8E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RMB50万元及以上赔款根据实际情况议定后支付。</w:t>
      </w:r>
    </w:p>
    <w:p w14:paraId="37E6794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2.中标供应商支付保险赔款后应及时通知采购人并提供盖章的赔款计算书。</w:t>
      </w:r>
    </w:p>
    <w:p w14:paraId="75AC570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3.对于保险责任明确、索赔材料齐全的小额案件，供应商应开通快速理赔通道，实行“先赔后审”或简化理赔流程。</w:t>
      </w:r>
    </w:p>
    <w:p w14:paraId="6AFA1A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当第三者遵循法律途径（包括但不限于诉讼、仲裁、调解、发律师函等）要求采购人承担赔偿责任时，采购人有权自行处理。中标供应商应当提供必要的文件和其所知悉的有关情况，并配合采购人及其他被保险人处理上述事宜。</w:t>
      </w:r>
    </w:p>
    <w:p w14:paraId="6CB7D05F">
      <w:pPr>
        <w:keepNext w:val="0"/>
        <w:keepLines w:val="0"/>
        <w:pageBreakBefore w:val="0"/>
        <w:widowControl/>
        <w:suppressLineNumbers w:val="0"/>
        <w:kinsoku/>
        <w:wordWrap/>
        <w:overflowPunct/>
        <w:topLinePunct w:val="0"/>
        <w:autoSpaceDE/>
        <w:autoSpaceDN/>
        <w:bidi w:val="0"/>
        <w:spacing w:line="400" w:lineRule="exact"/>
        <w:jc w:val="left"/>
        <w:textAlignment w:val="center"/>
        <w:rPr>
          <w:rFonts w:hint="eastAsia" w:ascii="仿宋" w:hAnsi="仿宋" w:eastAsia="仿宋" w:cs="仿宋"/>
          <w:color w:val="auto"/>
          <w:kern w:val="2"/>
          <w:sz w:val="24"/>
          <w:szCs w:val="24"/>
          <w:highlight w:val="none"/>
          <w:lang w:val="en-US" w:eastAsia="zh-CN" w:bidi="ar-SA"/>
        </w:rPr>
      </w:pPr>
      <w:bookmarkStart w:id="57" w:name="_Toc5337"/>
      <w:r>
        <w:rPr>
          <w:rFonts w:hint="eastAsia" w:ascii="仿宋" w:hAnsi="仿宋" w:eastAsia="仿宋" w:cs="仿宋"/>
          <w:color w:val="auto"/>
          <w:kern w:val="2"/>
          <w:sz w:val="24"/>
          <w:szCs w:val="24"/>
          <w:highlight w:val="none"/>
          <w:lang w:val="en-US" w:eastAsia="zh-CN" w:bidi="ar-SA"/>
        </w:rPr>
        <w:t>（四）其他要求</w:t>
      </w:r>
      <w:bookmarkEnd w:id="57"/>
    </w:p>
    <w:p w14:paraId="5E8092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1.成交供应商应严格遵守国家法律法规和保险监管规定，规范经营行为。</w:t>
      </w:r>
    </w:p>
    <w:p w14:paraId="6A6C95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2.成交供应商应做好客户信息保密工作，未经采购人书面同意，不得向任何第三方透露采购人及被保险人的信息资料。</w:t>
      </w:r>
    </w:p>
    <w:p w14:paraId="46A5A5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lang w:val="en-US" w:eastAsia="zh-CN"/>
        </w:rPr>
        <w:t>3.保险期间内，若发生重大事故或影响较大的突发事件，成交供应商应在第一时间向采购人报告，并积极协助处理。</w:t>
      </w:r>
      <w:r>
        <w:rPr>
          <w:rFonts w:hint="eastAsia" w:ascii="仿宋" w:hAnsi="仿宋" w:eastAsia="仿宋" w:cs="仿宋"/>
          <w:bCs/>
          <w:color w:val="auto"/>
          <w:sz w:val="24"/>
          <w:szCs w:val="24"/>
          <w:highlight w:val="none"/>
        </w:rPr>
        <w:br w:type="page"/>
      </w:r>
    </w:p>
    <w:p w14:paraId="45112D19">
      <w:pPr>
        <w:pStyle w:val="2"/>
        <w:spacing w:before="0" w:beforeLines="0" w:after="0" w:afterLines="0" w:line="360" w:lineRule="auto"/>
        <w:rPr>
          <w:rFonts w:hint="eastAsia" w:ascii="仿宋" w:hAnsi="仿宋" w:eastAsia="仿宋" w:cs="仿宋"/>
          <w:b/>
          <w:bCs/>
          <w:color w:val="auto"/>
          <w:sz w:val="44"/>
          <w:szCs w:val="44"/>
          <w:highlight w:val="none"/>
        </w:rPr>
      </w:pPr>
      <w:bookmarkStart w:id="58" w:name="_Toc3015"/>
      <w:r>
        <w:rPr>
          <w:rFonts w:hint="eastAsia" w:ascii="仿宋" w:hAnsi="仿宋" w:eastAsia="仿宋" w:cs="仿宋"/>
          <w:b/>
          <w:bCs/>
          <w:color w:val="auto"/>
          <w:sz w:val="44"/>
          <w:szCs w:val="44"/>
          <w:highlight w:val="none"/>
        </w:rPr>
        <w:t>第三篇 项目商务需求</w:t>
      </w:r>
      <w:bookmarkEnd w:id="37"/>
      <w:bookmarkEnd w:id="58"/>
    </w:p>
    <w:p w14:paraId="3B7F970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59" w:name="_Toc14316"/>
      <w:bookmarkStart w:id="60" w:name="_Toc17750"/>
      <w:bookmarkStart w:id="61" w:name="_Toc65660342"/>
      <w:bookmarkStart w:id="62" w:name="_Toc31185"/>
      <w:bookmarkStart w:id="63" w:name="_Toc12935"/>
      <w:bookmarkStart w:id="64" w:name="_Toc13555"/>
      <w:bookmarkStart w:id="65" w:name="_Toc11641055"/>
      <w:bookmarkStart w:id="66" w:name="_Toc12789059"/>
      <w:r>
        <w:rPr>
          <w:rFonts w:hint="eastAsia" w:ascii="仿宋" w:hAnsi="仿宋" w:eastAsia="仿宋" w:cs="仿宋"/>
          <w:b/>
          <w:color w:val="auto"/>
          <w:kern w:val="2"/>
          <w:sz w:val="24"/>
          <w:szCs w:val="24"/>
          <w:lang w:val="en-US" w:eastAsia="zh-CN" w:bidi="ar-SA"/>
        </w:rPr>
        <w:t>一、服务时间、地点及验收方式</w:t>
      </w:r>
      <w:bookmarkEnd w:id="59"/>
      <w:bookmarkEnd w:id="60"/>
      <w:bookmarkEnd w:id="61"/>
      <w:bookmarkEnd w:id="62"/>
      <w:bookmarkEnd w:id="63"/>
      <w:bookmarkEnd w:id="64"/>
    </w:p>
    <w:p w14:paraId="391D33B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（一）服务时间</w:t>
      </w:r>
    </w:p>
    <w:p w14:paraId="0A0F1EB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服务期为1年，若在服务期内，若因法律法规、上级部门政策调整或采购人项目提前终止影响本项目合同执行的，按法律法规、上级部门政策、采购人要求执行，并自动解除合同。成交供应商在响应前应充分考虑此潜在风险，并承担可能因此造成的一切经济损失，且采购人不承担任何违约责任。。</w:t>
      </w:r>
    </w:p>
    <w:p w14:paraId="7F3FBB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（二）服务地点</w:t>
      </w:r>
    </w:p>
    <w:p w14:paraId="7F9ECF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采购人指定地点。</w:t>
      </w:r>
    </w:p>
    <w:p w14:paraId="578AEB9C">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验收方式</w:t>
      </w:r>
    </w:p>
    <w:p w14:paraId="0D8C27B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以合同签订验收方式为准。</w:t>
      </w:r>
    </w:p>
    <w:p w14:paraId="3743DA7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67" w:name="_Toc1838"/>
      <w:bookmarkStart w:id="68" w:name="_Toc8103"/>
      <w:bookmarkStart w:id="69" w:name="_Toc24110"/>
      <w:bookmarkStart w:id="70" w:name="_Toc21736"/>
      <w:bookmarkStart w:id="71" w:name="_Toc65660343"/>
      <w:bookmarkStart w:id="72" w:name="_Toc20419"/>
      <w:r>
        <w:rPr>
          <w:rFonts w:hint="eastAsia" w:ascii="仿宋" w:hAnsi="仿宋" w:eastAsia="仿宋" w:cs="仿宋"/>
          <w:b/>
          <w:color w:val="auto"/>
          <w:kern w:val="2"/>
          <w:sz w:val="24"/>
          <w:szCs w:val="24"/>
          <w:lang w:val="en-US" w:eastAsia="zh-CN" w:bidi="ar-SA"/>
        </w:rPr>
        <w:t>二、质量保证及售后服务</w:t>
      </w:r>
      <w:bookmarkEnd w:id="67"/>
      <w:bookmarkEnd w:id="68"/>
      <w:bookmarkEnd w:id="69"/>
      <w:bookmarkEnd w:id="70"/>
      <w:bookmarkEnd w:id="71"/>
      <w:bookmarkEnd w:id="72"/>
    </w:p>
    <w:p w14:paraId="0F76BF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73" w:name="_Toc122"/>
      <w:bookmarkStart w:id="74" w:name="_Toc30378"/>
      <w:bookmarkStart w:id="75" w:name="_Toc16974"/>
      <w:bookmarkStart w:id="76" w:name="_Toc12184"/>
      <w:bookmarkStart w:id="77" w:name="_Toc65660344"/>
      <w:r>
        <w:rPr>
          <w:rFonts w:hint="eastAsia" w:ascii="仿宋" w:hAnsi="仿宋" w:eastAsia="仿宋" w:cs="仿宋"/>
          <w:color w:val="auto"/>
          <w:sz w:val="24"/>
          <w:szCs w:val="24"/>
          <w:highlight w:val="none"/>
          <w:lang w:val="en-US" w:eastAsia="zh-CN"/>
        </w:rPr>
        <w:t>按照“主动、迅速、准确”的理赔原则处理理赔案，力争将损失程度减低到最小，确保被保险人及时得到补偿。保险公司应当在人员、技术、资金等方面给与充分的保证和支持，可随时参与解决出现的问题。</w:t>
      </w:r>
    </w:p>
    <w:p w14:paraId="0876FCB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1.报案处理、查勘、定损、赔付时效，查勘人员应及时抵达事故现场。</w:t>
      </w:r>
    </w:p>
    <w:p w14:paraId="7F8369D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2.应严格执行365 天、24 小时的全天候接报案制度，接到报案通知后，中标供应商必须立即答复是否需要保留现场。如需要，专责理赔人员须在2 小时内赶到现场，或在24 小时内委托双方共同认可的公估公司赶到损失现场，进行现场查勘定损工作。</w:t>
      </w:r>
    </w:p>
    <w:p w14:paraId="11D33DE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3.根据采购人要求或现场管理需要，中标供应商负责对采购人免费提供保险专业知识的培训。</w:t>
      </w:r>
    </w:p>
    <w:p w14:paraId="247D682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4.供应商应建立完善的客户服务档案，对采购人的咨询、投诉、建议等及时响应和处理。</w:t>
      </w:r>
    </w:p>
    <w:p w14:paraId="391C607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78" w:name="_Toc363"/>
      <w:r>
        <w:rPr>
          <w:rFonts w:hint="eastAsia" w:ascii="仿宋" w:hAnsi="仿宋" w:eastAsia="仿宋" w:cs="仿宋"/>
          <w:b/>
          <w:color w:val="auto"/>
          <w:kern w:val="2"/>
          <w:sz w:val="24"/>
          <w:szCs w:val="24"/>
          <w:lang w:val="en-US" w:eastAsia="zh-CN" w:bidi="ar-SA"/>
        </w:rPr>
        <w:t>三、报价要求</w:t>
      </w:r>
      <w:bookmarkEnd w:id="73"/>
      <w:bookmarkEnd w:id="74"/>
      <w:bookmarkEnd w:id="75"/>
      <w:bookmarkEnd w:id="76"/>
      <w:bookmarkEnd w:id="77"/>
      <w:bookmarkEnd w:id="78"/>
    </w:p>
    <w:p w14:paraId="404D14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79" w:name="_Toc9192"/>
      <w:bookmarkStart w:id="80" w:name="_Toc7562"/>
      <w:bookmarkStart w:id="81" w:name="_Toc11000"/>
      <w:bookmarkStart w:id="82" w:name="_Toc65660345"/>
      <w:r>
        <w:rPr>
          <w:rFonts w:hint="eastAsia" w:ascii="仿宋" w:hAnsi="仿宋" w:eastAsia="仿宋" w:cs="仿宋"/>
          <w:color w:val="auto"/>
          <w:sz w:val="24"/>
          <w:szCs w:val="24"/>
          <w:highlight w:val="none"/>
          <w:lang w:val="en-US" w:eastAsia="zh-CN"/>
        </w:rPr>
        <w:t>本次报价须为折扣报价（</w:t>
      </w:r>
      <w:r>
        <w:rPr>
          <w:rFonts w:hint="eastAsia" w:ascii="仿宋" w:hAnsi="仿宋" w:eastAsia="仿宋" w:cs="仿宋"/>
          <w:b/>
          <w:bCs/>
          <w:color w:val="auto"/>
          <w:kern w:val="2"/>
          <w:sz w:val="24"/>
          <w:szCs w:val="24"/>
          <w:highlight w:val="none"/>
          <w:lang w:val="en-US" w:eastAsia="zh-CN" w:bidi="ar-SA"/>
        </w:rPr>
        <w:t>折扣报</w:t>
      </w:r>
      <w:r>
        <w:rPr>
          <w:rFonts w:hint="eastAsia" w:ascii="仿宋" w:hAnsi="仿宋" w:eastAsia="仿宋" w:cs="仿宋"/>
          <w:b/>
          <w:bCs/>
          <w:color w:val="auto"/>
          <w:sz w:val="24"/>
          <w:szCs w:val="24"/>
          <w:highlight w:val="none"/>
          <w:lang w:val="en-US" w:eastAsia="zh-CN"/>
        </w:rPr>
        <w:t>价在0%-100%，须保留两位小数。</w:t>
      </w:r>
      <w:r>
        <w:rPr>
          <w:rFonts w:hint="eastAsia" w:ascii="仿宋" w:hAnsi="仿宋" w:eastAsia="仿宋" w:cs="仿宋"/>
          <w:color w:val="auto"/>
          <w:sz w:val="24"/>
          <w:szCs w:val="24"/>
          <w:highlight w:val="none"/>
          <w:lang w:val="en-US" w:eastAsia="zh-CN"/>
        </w:rPr>
        <w:t>）之间填报，包括所有的保险费、服务费、办公费、税费等所有费用。因供应商自身原因造成漏报、少报皆由其自行承担责任，采购人不再补偿。</w:t>
      </w:r>
    </w:p>
    <w:p w14:paraId="46915E31">
      <w:pPr>
        <w:pageBreakBefore w:val="0"/>
        <w:widowControl w:val="0"/>
        <w:kinsoku/>
        <w:wordWrap/>
        <w:overflowPunct/>
        <w:topLinePunct w:val="0"/>
        <w:autoSpaceDE/>
        <w:autoSpaceDN/>
        <w:bidi w:val="0"/>
        <w:spacing w:line="4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保费定价原则</w:t>
      </w:r>
    </w:p>
    <w:p w14:paraId="066AD821">
      <w:pPr>
        <w:pageBreakBefore w:val="0"/>
        <w:widowControl w:val="0"/>
        <w:kinsoku/>
        <w:wordWrap/>
        <w:overflowPunct/>
        <w:topLinePunct w:val="0"/>
        <w:autoSpaceDE/>
        <w:autoSpaceDN/>
        <w:bidi w:val="0"/>
        <w:spacing w:line="400" w:lineRule="exact"/>
        <w:ind w:firstLine="482" w:firstLineChars="200"/>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1.新增项目保费= 【采购人确定的该项目基准保费】×【中标折扣报价】。基准保费由采购人参考该项目过往保费金额、同区域同类型项目保费水平或行业费率标准另行商谈确定。</w:t>
      </w:r>
    </w:p>
    <w:p w14:paraId="02F0495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2.保险有效期未到期的项目保费=【项目对应保费金额】×【中标折扣报价】</w:t>
      </w:r>
      <w:bookmarkStart w:id="83" w:name="_Toc24560"/>
    </w:p>
    <w:p w14:paraId="59EAE0A1">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highlight w:val="none"/>
          <w:lang w:val="en-US" w:eastAsia="zh-CN" w:bidi="ar-SA"/>
        </w:rPr>
      </w:pPr>
      <w:bookmarkStart w:id="84" w:name="_Toc22252"/>
      <w:r>
        <w:rPr>
          <w:rFonts w:hint="eastAsia" w:ascii="仿宋" w:hAnsi="仿宋" w:eastAsia="仿宋" w:cs="仿宋"/>
          <w:b/>
          <w:color w:val="auto"/>
          <w:kern w:val="2"/>
          <w:sz w:val="24"/>
          <w:szCs w:val="24"/>
          <w:highlight w:val="none"/>
          <w:lang w:val="en-US" w:eastAsia="zh-CN" w:bidi="ar-SA"/>
        </w:rPr>
        <w:t>四、付款方式</w:t>
      </w:r>
      <w:bookmarkEnd w:id="79"/>
      <w:bookmarkEnd w:id="80"/>
      <w:bookmarkEnd w:id="81"/>
      <w:bookmarkEnd w:id="82"/>
      <w:bookmarkEnd w:id="83"/>
      <w:bookmarkEnd w:id="84"/>
      <w:bookmarkStart w:id="85" w:name="_Toc21077"/>
      <w:bookmarkStart w:id="86" w:name="_Toc20073"/>
      <w:bookmarkStart w:id="87" w:name="_Toc23902"/>
      <w:bookmarkStart w:id="88" w:name="_Toc21248"/>
      <w:bookmarkStart w:id="89" w:name="_Toc65660348"/>
      <w:bookmarkStart w:id="90" w:name="_Toc31659"/>
    </w:p>
    <w:p w14:paraId="1CBEF95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1.保险费实行一年一付。根据采购人各项目保险费，采购人在收到《缴费通知书》并经采购人审核无误后,在保险起始前10个工作日内将相应的保险费划付成交供应商。</w:t>
      </w:r>
    </w:p>
    <w:p w14:paraId="2B1D6B2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2.保险费到账后，乙方应于保险起始日期前3个工作日内根据投保单及相关投保资料出具保险单，并开具符合采购人要求的全额保费发票一同送交采购人。</w:t>
      </w:r>
    </w:p>
    <w:p w14:paraId="647F42BF">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91" w:name="_Toc18473"/>
      <w:r>
        <w:rPr>
          <w:rFonts w:hint="eastAsia" w:ascii="仿宋" w:hAnsi="仿宋" w:eastAsia="仿宋" w:cs="仿宋"/>
          <w:b/>
          <w:color w:val="auto"/>
          <w:kern w:val="2"/>
          <w:sz w:val="24"/>
          <w:szCs w:val="24"/>
          <w:lang w:val="en-US" w:eastAsia="zh-CN" w:bidi="ar-SA"/>
        </w:rPr>
        <w:t>五、履约保证金</w:t>
      </w:r>
      <w:bookmarkEnd w:id="85"/>
      <w:bookmarkEnd w:id="86"/>
      <w:bookmarkEnd w:id="91"/>
    </w:p>
    <w:p w14:paraId="43B0BAE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1.成交供应商收到成交通知书后，签订合同前，成交供应商向采购人缴纳</w:t>
      </w:r>
      <w:r>
        <w:rPr>
          <w:rFonts w:hint="eastAsia" w:ascii="仿宋" w:hAnsi="仿宋" w:eastAsia="仿宋" w:cs="仿宋"/>
          <w:color w:val="auto"/>
          <w:sz w:val="24"/>
          <w:szCs w:val="24"/>
          <w:highlight w:val="none"/>
          <w:u w:val="single"/>
          <w:lang w:val="en-US" w:eastAsia="zh-CN"/>
        </w:rPr>
        <w:t>5000.00</w:t>
      </w:r>
      <w:r>
        <w:rPr>
          <w:rFonts w:hint="eastAsia" w:ascii="仿宋" w:hAnsi="仿宋" w:eastAsia="仿宋" w:cs="仿宋"/>
          <w:color w:val="auto"/>
          <w:sz w:val="24"/>
          <w:szCs w:val="24"/>
          <w:highlight w:val="none"/>
          <w:lang w:val="en-US" w:eastAsia="zh-CN"/>
        </w:rPr>
        <w:t>元的履约保证金（以支票、汇票、本票、银行转账或者中华人民共和国境内注册的可开展非融资担保类业务的银行、保险公司、担保公司等出具的不可撤销的、见索即付的保函等非现金形式提交）；成交供应商不按照合同和招标文件要求履行义务的，采购人有权不予退还履约保证金。若保证金为保函形式，保函有效期需覆盖整个项目服务期，保函原件交采购人保管。</w:t>
      </w:r>
    </w:p>
    <w:p w14:paraId="5A6E65B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注：若以保函形式提交，保函出具担保方须满足《重庆市财政局关于开展政府采购保函业务的通知》（“渝财采购〔2023〕7号”）相关要求。）</w:t>
      </w:r>
    </w:p>
    <w:p w14:paraId="0550C33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2.服务期满后，采购人参照渝财采购〔2021〕13号文件和合同约定内容执行履约保证金无息退还流程。</w:t>
      </w:r>
    </w:p>
    <w:p w14:paraId="461ADBB9">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92" w:name="_Toc19363"/>
      <w:bookmarkStart w:id="93" w:name="_Toc592"/>
      <w:r>
        <w:rPr>
          <w:rFonts w:hint="eastAsia" w:ascii="仿宋" w:hAnsi="仿宋" w:eastAsia="仿宋" w:cs="仿宋"/>
          <w:b/>
          <w:color w:val="auto"/>
          <w:kern w:val="2"/>
          <w:sz w:val="24"/>
          <w:szCs w:val="24"/>
          <w:lang w:val="en-US" w:eastAsia="zh-CN" w:bidi="ar-SA"/>
        </w:rPr>
        <w:t>六、其他</w:t>
      </w:r>
      <w:bookmarkEnd w:id="87"/>
      <w:bookmarkEnd w:id="88"/>
      <w:bookmarkEnd w:id="89"/>
      <w:bookmarkEnd w:id="90"/>
      <w:bookmarkEnd w:id="92"/>
      <w:bookmarkEnd w:id="93"/>
    </w:p>
    <w:p w14:paraId="03780A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1.其他未尽事宜由供需双方在采购合同中详细约定。</w:t>
      </w:r>
    </w:p>
    <w:p w14:paraId="77AAB52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2.供应商必须在响应文件中对以上条款和服务承诺明确列出，承诺内容必须达到本篇的要求。</w:t>
      </w:r>
    </w:p>
    <w:p w14:paraId="0B946BE9">
      <w:pPr>
        <w:pageBreakBefore w:val="0"/>
        <w:widowControl w:val="0"/>
        <w:kinsoku/>
        <w:wordWrap/>
        <w:overflowPunct/>
        <w:topLinePunct w:val="0"/>
        <w:autoSpaceDE/>
        <w:autoSpaceDN/>
        <w:bidi w:val="0"/>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bookmarkEnd w:id="65"/>
    <w:bookmarkEnd w:id="66"/>
    <w:p w14:paraId="3EB8C41E">
      <w:pPr>
        <w:pStyle w:val="2"/>
        <w:numPr>
          <w:ilvl w:val="0"/>
          <w:numId w:val="2"/>
        </w:numPr>
        <w:spacing w:before="0" w:beforeLines="0" w:after="0" w:afterLines="0" w:line="360" w:lineRule="auto"/>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 xml:space="preserve"> </w:t>
      </w:r>
      <w:bookmarkStart w:id="94" w:name="_Toc30296"/>
      <w:r>
        <w:rPr>
          <w:rFonts w:hint="eastAsia" w:ascii="仿宋" w:hAnsi="仿宋" w:eastAsia="仿宋" w:cs="仿宋"/>
          <w:b/>
          <w:bCs/>
          <w:color w:val="auto"/>
          <w:sz w:val="44"/>
          <w:szCs w:val="44"/>
          <w:highlight w:val="none"/>
        </w:rPr>
        <w:t>比选程序及方法、评审标准、无效响应和采购终止</w:t>
      </w:r>
      <w:bookmarkEnd w:id="94"/>
      <w:bookmarkStart w:id="95" w:name="_Toc16155"/>
      <w:bookmarkStart w:id="96" w:name="_Toc27162"/>
      <w:bookmarkStart w:id="97" w:name="_Toc77769779"/>
      <w:bookmarkStart w:id="98" w:name="_Toc15748"/>
      <w:bookmarkStart w:id="99" w:name="_Toc38532863"/>
      <w:bookmarkStart w:id="100" w:name="_Toc31179"/>
    </w:p>
    <w:p w14:paraId="6A694C05">
      <w:pPr>
        <w:pStyle w:val="3"/>
        <w:pageBreakBefore w:val="0"/>
        <w:widowControl w:val="0"/>
        <w:kinsoku/>
        <w:wordWrap/>
        <w:overflowPunct/>
        <w:topLinePunct w:val="0"/>
        <w:autoSpaceDE/>
        <w:autoSpaceDN/>
        <w:bidi w:val="0"/>
        <w:spacing w:line="400" w:lineRule="exact"/>
        <w:ind w:firstLine="482" w:firstLineChars="200"/>
        <w:textAlignment w:val="auto"/>
        <w:rPr>
          <w:rFonts w:hint="eastAsia" w:ascii="仿宋" w:hAnsi="仿宋" w:eastAsia="仿宋" w:cs="仿宋"/>
          <w:b/>
          <w:bCs/>
          <w:color w:val="auto"/>
          <w:sz w:val="24"/>
          <w:szCs w:val="24"/>
          <w:highlight w:val="none"/>
          <w:lang w:val="en-US" w:eastAsia="zh-CN"/>
        </w:rPr>
      </w:pPr>
      <w:bookmarkStart w:id="101" w:name="_Toc32637"/>
      <w:bookmarkStart w:id="102" w:name="_Toc26303"/>
      <w:bookmarkStart w:id="103" w:name="_Toc19071"/>
      <w:r>
        <w:rPr>
          <w:rFonts w:hint="eastAsia" w:ascii="仿宋" w:hAnsi="仿宋" w:eastAsia="仿宋" w:cs="仿宋"/>
          <w:b/>
          <w:bCs/>
          <w:color w:val="auto"/>
          <w:sz w:val="24"/>
          <w:szCs w:val="24"/>
          <w:highlight w:val="none"/>
          <w:lang w:val="en-US" w:eastAsia="zh-CN"/>
        </w:rPr>
        <w:t>一、比选程序及方法</w:t>
      </w:r>
      <w:bookmarkEnd w:id="101"/>
      <w:bookmarkEnd w:id="102"/>
      <w:bookmarkEnd w:id="103"/>
    </w:p>
    <w:p w14:paraId="0365D1AE">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（一）比选按竞争性比选文件规定的时间和地点进行，</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须有法定代表人或其授权代表参加并签到。由本项目依法组建的评审小组分别与各</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进行比选。</w:t>
      </w:r>
    </w:p>
    <w:p w14:paraId="03EAE711">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（二）评审小组对各</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的资格条件、</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的有效性、完整性和响应程度进行审查。各</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只有在完全符合要求的前提下，才能参与正式比选。</w:t>
      </w:r>
    </w:p>
    <w:p w14:paraId="377EE4B8">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1.资格性检查。依据法律法规和竞争性比选文件的规定，对</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中的资格证明、等进行审查，以确定</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是否具备比选资格。资格性检查资料表如下：</w:t>
      </w:r>
    </w:p>
    <w:tbl>
      <w:tblPr>
        <w:tblStyle w:val="24"/>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805"/>
        <w:gridCol w:w="2850"/>
        <w:gridCol w:w="4984"/>
      </w:tblGrid>
      <w:tr w14:paraId="4772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tcBorders>
              <w:top w:val="single" w:color="auto" w:sz="4" w:space="0"/>
              <w:left w:val="single" w:color="auto" w:sz="4" w:space="0"/>
              <w:bottom w:val="single" w:color="auto" w:sz="4" w:space="0"/>
              <w:right w:val="single" w:color="auto" w:sz="4" w:space="0"/>
            </w:tcBorders>
            <w:vAlign w:val="center"/>
          </w:tcPr>
          <w:p w14:paraId="18D87A70">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序号</w:t>
            </w:r>
          </w:p>
        </w:tc>
        <w:tc>
          <w:tcPr>
            <w:tcW w:w="3655" w:type="dxa"/>
            <w:gridSpan w:val="2"/>
            <w:tcBorders>
              <w:top w:val="single" w:color="auto" w:sz="4" w:space="0"/>
              <w:left w:val="single" w:color="auto" w:sz="4" w:space="0"/>
              <w:bottom w:val="single" w:color="auto" w:sz="4" w:space="0"/>
              <w:right w:val="single" w:color="auto" w:sz="4" w:space="0"/>
            </w:tcBorders>
            <w:vAlign w:val="center"/>
          </w:tcPr>
          <w:p w14:paraId="78CFB13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检查因素</w:t>
            </w:r>
          </w:p>
        </w:tc>
        <w:tc>
          <w:tcPr>
            <w:tcW w:w="4984" w:type="dxa"/>
            <w:tcBorders>
              <w:top w:val="single" w:color="auto" w:sz="4" w:space="0"/>
              <w:left w:val="single" w:color="auto" w:sz="4" w:space="0"/>
              <w:bottom w:val="single" w:color="auto" w:sz="4" w:space="0"/>
              <w:right w:val="single" w:color="auto" w:sz="4" w:space="0"/>
            </w:tcBorders>
            <w:vAlign w:val="center"/>
          </w:tcPr>
          <w:p w14:paraId="2B6E415C">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检查内容</w:t>
            </w:r>
          </w:p>
        </w:tc>
      </w:tr>
      <w:tr w14:paraId="2D53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restart"/>
            <w:vAlign w:val="center"/>
          </w:tcPr>
          <w:p w14:paraId="7FE699D0">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r>
              <w:rPr>
                <w:rFonts w:hint="eastAsia" w:ascii="仿宋" w:hAnsi="仿宋" w:eastAsia="仿宋" w:cs="仿宋"/>
                <w:sz w:val="24"/>
                <w:szCs w:val="24"/>
              </w:rPr>
              <w:t>（一）</w:t>
            </w:r>
          </w:p>
        </w:tc>
        <w:tc>
          <w:tcPr>
            <w:tcW w:w="805" w:type="dxa"/>
            <w:vMerge w:val="restart"/>
            <w:vAlign w:val="center"/>
          </w:tcPr>
          <w:p w14:paraId="4F80D325">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lang w:val="zh-CN"/>
              </w:rPr>
              <w:t>《中华人民共和国政府采购法》第二十二条规定</w:t>
            </w:r>
          </w:p>
        </w:tc>
        <w:tc>
          <w:tcPr>
            <w:tcW w:w="2850" w:type="dxa"/>
            <w:vAlign w:val="center"/>
          </w:tcPr>
          <w:p w14:paraId="220E4AF0">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1.具有独立承担民事责任的能力</w:t>
            </w:r>
          </w:p>
        </w:tc>
        <w:tc>
          <w:tcPr>
            <w:tcW w:w="4984" w:type="dxa"/>
            <w:vAlign w:val="center"/>
          </w:tcPr>
          <w:p w14:paraId="29E1CBB1">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供应商</w:t>
            </w:r>
            <w:r>
              <w:rPr>
                <w:rFonts w:hint="eastAsia" w:ascii="仿宋" w:hAnsi="仿宋" w:eastAsia="仿宋" w:cs="仿宋"/>
                <w:sz w:val="24"/>
                <w:szCs w:val="24"/>
              </w:rPr>
              <w:t xml:space="preserve">法人营业执照（副本）或事业单位法人证书（副本）或个体工商户营业执照或有效的自然人身份证明或社会团体法人登记证书（提供复印件）。 </w:t>
            </w:r>
          </w:p>
          <w:p w14:paraId="52781AD6">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供应商</w:t>
            </w:r>
            <w:r>
              <w:rPr>
                <w:rFonts w:hint="eastAsia" w:ascii="仿宋" w:hAnsi="仿宋" w:eastAsia="仿宋" w:cs="仿宋"/>
                <w:sz w:val="24"/>
                <w:szCs w:val="24"/>
              </w:rPr>
              <w:t>法定代表人身份证明和法定代表人授权代表委托书</w:t>
            </w:r>
            <w:r>
              <w:rPr>
                <w:rFonts w:hint="eastAsia" w:ascii="仿宋" w:hAnsi="仿宋" w:eastAsia="仿宋" w:cs="仿宋"/>
                <w:sz w:val="24"/>
                <w:szCs w:val="24"/>
                <w:highlight w:val="none"/>
                <w:lang w:val="en-US" w:eastAsia="zh-CN"/>
              </w:rPr>
              <w:t>。</w:t>
            </w:r>
          </w:p>
        </w:tc>
      </w:tr>
      <w:tr w14:paraId="2B2B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01FCEF42">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1D492233">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2850" w:type="dxa"/>
            <w:vAlign w:val="center"/>
          </w:tcPr>
          <w:p w14:paraId="640C85BB">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lang w:val="zh-CN"/>
              </w:rPr>
              <w:t>2.</w:t>
            </w:r>
            <w:r>
              <w:rPr>
                <w:rFonts w:hint="eastAsia" w:ascii="仿宋" w:hAnsi="仿宋" w:eastAsia="仿宋" w:cs="仿宋"/>
                <w:sz w:val="24"/>
                <w:szCs w:val="24"/>
              </w:rPr>
              <w:t>具有良好的商业信誉和健全的财务会计制度</w:t>
            </w:r>
          </w:p>
        </w:tc>
        <w:tc>
          <w:tcPr>
            <w:tcW w:w="4984" w:type="dxa"/>
            <w:vMerge w:val="restart"/>
            <w:vAlign w:val="center"/>
          </w:tcPr>
          <w:p w14:paraId="49B3EB20">
            <w:pPr>
              <w:pageBreakBefore w:val="0"/>
              <w:kinsoku/>
              <w:wordWrap/>
              <w:overflowPunct/>
              <w:topLinePunct w:val="0"/>
              <w:autoSpaceDE/>
              <w:autoSpaceDN/>
              <w:bidi w:val="0"/>
              <w:spacing w:line="400" w:lineRule="exact"/>
              <w:ind w:leftChars="0"/>
              <w:textAlignment w:val="auto"/>
              <w:rPr>
                <w:rFonts w:hint="eastAsia" w:ascii="仿宋" w:hAnsi="仿宋" w:eastAsia="仿宋" w:cs="仿宋"/>
                <w:b/>
                <w:sz w:val="24"/>
                <w:szCs w:val="24"/>
              </w:rPr>
            </w:pPr>
            <w:r>
              <w:rPr>
                <w:rFonts w:hint="eastAsia" w:ascii="仿宋" w:hAnsi="仿宋" w:eastAsia="仿宋" w:cs="仿宋"/>
                <w:sz w:val="24"/>
                <w:szCs w:val="24"/>
                <w:lang w:val="en-US" w:eastAsia="zh-CN"/>
              </w:rPr>
              <w:t>供应商</w:t>
            </w:r>
            <w:r>
              <w:rPr>
                <w:rFonts w:hint="eastAsia" w:ascii="仿宋" w:hAnsi="仿宋" w:eastAsia="仿宋" w:cs="仿宋"/>
                <w:sz w:val="24"/>
                <w:szCs w:val="24"/>
              </w:rPr>
              <w:t>提供“基本资格条件承诺函”（格式详见第七篇）</w:t>
            </w:r>
          </w:p>
        </w:tc>
      </w:tr>
      <w:tr w14:paraId="126C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7533B7E6">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79866091">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2850" w:type="dxa"/>
            <w:vAlign w:val="center"/>
          </w:tcPr>
          <w:p w14:paraId="409AC61C">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lang w:val="zh-CN"/>
              </w:rPr>
              <w:t>3.具有履行合同所必需的设备和专业技术能力</w:t>
            </w:r>
          </w:p>
        </w:tc>
        <w:tc>
          <w:tcPr>
            <w:tcW w:w="4984" w:type="dxa"/>
            <w:vMerge w:val="continue"/>
            <w:vAlign w:val="center"/>
          </w:tcPr>
          <w:p w14:paraId="4DF6F36C">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r>
      <w:tr w14:paraId="4005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6FD37FD2">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4D5F209F">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2850" w:type="dxa"/>
            <w:vAlign w:val="center"/>
          </w:tcPr>
          <w:p w14:paraId="797097C2">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lang w:val="zh-CN"/>
              </w:rPr>
              <w:t>4.有依法缴纳税收和社会保障金的良好记录</w:t>
            </w:r>
          </w:p>
        </w:tc>
        <w:tc>
          <w:tcPr>
            <w:tcW w:w="4984" w:type="dxa"/>
            <w:vMerge w:val="continue"/>
            <w:vAlign w:val="center"/>
          </w:tcPr>
          <w:p w14:paraId="230E35F2">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r>
      <w:tr w14:paraId="3BE4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Merge w:val="continue"/>
            <w:vAlign w:val="center"/>
          </w:tcPr>
          <w:p w14:paraId="283B6D9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599EB3C2">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2850" w:type="dxa"/>
            <w:vAlign w:val="center"/>
          </w:tcPr>
          <w:p w14:paraId="4F2B79ED">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rPr>
              <w:t>5.参加政府采购活动前三年内，在经营活动中没有重大违法记录</w:t>
            </w:r>
          </w:p>
        </w:tc>
        <w:tc>
          <w:tcPr>
            <w:tcW w:w="4984" w:type="dxa"/>
            <w:vMerge w:val="continue"/>
            <w:vAlign w:val="center"/>
          </w:tcPr>
          <w:p w14:paraId="1547A4EE">
            <w:pPr>
              <w:pageBreakBefore w:val="0"/>
              <w:kinsoku/>
              <w:wordWrap/>
              <w:overflowPunct/>
              <w:topLinePunct w:val="0"/>
              <w:autoSpaceDE/>
              <w:autoSpaceDN/>
              <w:bidi w:val="0"/>
              <w:spacing w:line="400" w:lineRule="exact"/>
              <w:ind w:leftChars="0"/>
              <w:textAlignment w:val="auto"/>
              <w:rPr>
                <w:rFonts w:hint="eastAsia" w:ascii="仿宋" w:hAnsi="仿宋" w:eastAsia="仿宋" w:cs="仿宋"/>
                <w:b/>
                <w:sz w:val="24"/>
                <w:szCs w:val="24"/>
              </w:rPr>
            </w:pPr>
          </w:p>
        </w:tc>
      </w:tr>
      <w:tr w14:paraId="30CB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89" w:type="dxa"/>
            <w:vMerge w:val="continue"/>
            <w:vAlign w:val="center"/>
          </w:tcPr>
          <w:p w14:paraId="618E04C2">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381561F4">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c>
          <w:tcPr>
            <w:tcW w:w="2850" w:type="dxa"/>
            <w:vAlign w:val="center"/>
          </w:tcPr>
          <w:p w14:paraId="756A2726">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6.法律、行政法规规定的其他条件</w:t>
            </w:r>
          </w:p>
        </w:tc>
        <w:tc>
          <w:tcPr>
            <w:tcW w:w="4984" w:type="dxa"/>
            <w:vAlign w:val="center"/>
          </w:tcPr>
          <w:p w14:paraId="3A0546D7">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r>
      <w:tr w14:paraId="1E94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89" w:type="dxa"/>
            <w:vMerge w:val="continue"/>
            <w:vAlign w:val="center"/>
          </w:tcPr>
          <w:p w14:paraId="23330DE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p>
        </w:tc>
        <w:tc>
          <w:tcPr>
            <w:tcW w:w="805" w:type="dxa"/>
            <w:vMerge w:val="continue"/>
            <w:vAlign w:val="center"/>
          </w:tcPr>
          <w:p w14:paraId="350813A2">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p>
        </w:tc>
        <w:tc>
          <w:tcPr>
            <w:tcW w:w="2850" w:type="dxa"/>
            <w:vAlign w:val="center"/>
          </w:tcPr>
          <w:p w14:paraId="43E2276D">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7.本项目的特定资格要求</w:t>
            </w:r>
          </w:p>
        </w:tc>
        <w:tc>
          <w:tcPr>
            <w:tcW w:w="4984" w:type="dxa"/>
            <w:vAlign w:val="center"/>
          </w:tcPr>
          <w:p w14:paraId="72B3E9F7">
            <w:pPr>
              <w:pageBreakBefore w:val="0"/>
              <w:widowControl w:val="0"/>
              <w:kinsoku/>
              <w:wordWrap/>
              <w:overflowPunct/>
              <w:topLinePunct w:val="0"/>
              <w:autoSpaceDE/>
              <w:autoSpaceDN/>
              <w:bidi w:val="0"/>
              <w:spacing w:line="400" w:lineRule="exact"/>
              <w:textAlignment w:val="auto"/>
              <w:outlineLvl w:val="9"/>
              <w:rPr>
                <w:rFonts w:hint="default" w:ascii="仿宋" w:hAnsi="仿宋" w:eastAsia="仿宋" w:cs="仿宋"/>
                <w:sz w:val="24"/>
                <w:szCs w:val="24"/>
                <w:lang w:val="en-US"/>
              </w:rPr>
            </w:pPr>
            <w:r>
              <w:rPr>
                <w:rFonts w:hint="eastAsia" w:ascii="仿宋" w:hAnsi="仿宋" w:eastAsia="仿宋" w:cs="仿宋"/>
                <w:b w:val="0"/>
                <w:bCs/>
                <w:color w:val="auto"/>
                <w:sz w:val="24"/>
                <w:szCs w:val="24"/>
                <w:highlight w:val="none"/>
                <w:lang w:val="en-US" w:eastAsia="zh-CN"/>
              </w:rPr>
              <w:t>按第一篇</w:t>
            </w:r>
            <w:r>
              <w:rPr>
                <w:rFonts w:hint="eastAsia" w:ascii="仿宋" w:hAnsi="仿宋" w:eastAsia="仿宋" w:cs="仿宋"/>
                <w:b w:val="0"/>
                <w:bCs/>
                <w:color w:val="auto"/>
                <w:sz w:val="24"/>
                <w:szCs w:val="24"/>
                <w:highlight w:val="none"/>
              </w:rPr>
              <w:t>三、</w:t>
            </w: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资格条件</w:t>
            </w:r>
            <w:r>
              <w:rPr>
                <w:rFonts w:hint="eastAsia" w:ascii="仿宋" w:hAnsi="仿宋" w:eastAsia="仿宋" w:cs="仿宋"/>
                <w:b w:val="0"/>
                <w:bCs/>
                <w:color w:val="auto"/>
                <w:sz w:val="24"/>
                <w:szCs w:val="24"/>
                <w:highlight w:val="none"/>
                <w:lang w:eastAsia="zh-CN"/>
              </w:rPr>
              <w:t>“</w:t>
            </w:r>
            <w:r>
              <w:rPr>
                <w:rFonts w:hint="eastAsia" w:ascii="仿宋" w:hAnsi="仿宋" w:eastAsia="仿宋" w:cs="仿宋"/>
                <w:sz w:val="24"/>
                <w:szCs w:val="24"/>
                <w:highlight w:val="none"/>
              </w:rPr>
              <w:t>（</w:t>
            </w:r>
            <w:r>
              <w:rPr>
                <w:rFonts w:hint="eastAsia" w:ascii="仿宋" w:hAnsi="仿宋" w:eastAsia="仿宋" w:cs="仿宋"/>
                <w:b/>
                <w:bCs/>
                <w:sz w:val="24"/>
                <w:szCs w:val="24"/>
                <w:highlight w:val="none"/>
              </w:rPr>
              <w:t>二）特定资格条件</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要求提供（如果有）</w:t>
            </w:r>
          </w:p>
        </w:tc>
      </w:tr>
      <w:tr w14:paraId="7735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89" w:type="dxa"/>
            <w:vAlign w:val="center"/>
          </w:tcPr>
          <w:p w14:paraId="325C0D3C">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r>
              <w:rPr>
                <w:rFonts w:hint="eastAsia" w:ascii="仿宋" w:hAnsi="仿宋" w:eastAsia="仿宋" w:cs="仿宋"/>
                <w:sz w:val="24"/>
                <w:szCs w:val="24"/>
              </w:rPr>
              <w:t>（二）</w:t>
            </w:r>
          </w:p>
        </w:tc>
        <w:tc>
          <w:tcPr>
            <w:tcW w:w="3655" w:type="dxa"/>
            <w:gridSpan w:val="2"/>
            <w:vAlign w:val="center"/>
          </w:tcPr>
          <w:p w14:paraId="3F84E04B">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参选保证金</w:t>
            </w:r>
          </w:p>
        </w:tc>
        <w:tc>
          <w:tcPr>
            <w:tcW w:w="4984" w:type="dxa"/>
            <w:vAlign w:val="center"/>
          </w:tcPr>
          <w:p w14:paraId="0CD4F9B8">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无</w:t>
            </w:r>
          </w:p>
        </w:tc>
      </w:tr>
      <w:tr w14:paraId="1BE0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9" w:type="dxa"/>
            <w:vAlign w:val="center"/>
          </w:tcPr>
          <w:p w14:paraId="0FB047BF">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sz w:val="24"/>
                <w:szCs w:val="24"/>
              </w:rPr>
            </w:pPr>
            <w:r>
              <w:rPr>
                <w:rFonts w:hint="eastAsia" w:ascii="仿宋" w:hAnsi="仿宋" w:eastAsia="仿宋" w:cs="仿宋"/>
                <w:sz w:val="24"/>
                <w:szCs w:val="24"/>
              </w:rPr>
              <w:t>（三）</w:t>
            </w:r>
          </w:p>
        </w:tc>
        <w:tc>
          <w:tcPr>
            <w:tcW w:w="3655" w:type="dxa"/>
            <w:gridSpan w:val="2"/>
            <w:vAlign w:val="center"/>
          </w:tcPr>
          <w:p w14:paraId="43A36D39">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参照落实政府采购政策需满足的资格要求</w:t>
            </w:r>
          </w:p>
        </w:tc>
        <w:tc>
          <w:tcPr>
            <w:tcW w:w="4984" w:type="dxa"/>
            <w:vAlign w:val="center"/>
          </w:tcPr>
          <w:p w14:paraId="7FE7D546">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无</w:t>
            </w:r>
          </w:p>
        </w:tc>
      </w:tr>
    </w:tbl>
    <w:p w14:paraId="1E57A400">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注：</w:t>
      </w:r>
    </w:p>
    <w:p w14:paraId="5AC647E8">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eq \o\ac(</w:instrText>
      </w:r>
      <w:r>
        <w:rPr>
          <w:rFonts w:hint="eastAsia" w:ascii="仿宋" w:hAnsi="仿宋" w:eastAsia="仿宋" w:cs="仿宋"/>
          <w:kern w:val="0"/>
          <w:position w:val="-4"/>
          <w:sz w:val="36"/>
          <w:szCs w:val="24"/>
        </w:rPr>
        <w:instrText xml:space="preserve">○</w:instrText>
      </w:r>
      <w:r>
        <w:rPr>
          <w:rFonts w:hint="eastAsia" w:ascii="仿宋" w:hAnsi="仿宋" w:eastAsia="仿宋" w:cs="仿宋"/>
          <w:kern w:val="0"/>
          <w:position w:val="0"/>
          <w:sz w:val="24"/>
          <w:szCs w:val="24"/>
        </w:rPr>
        <w:instrText xml:space="preserve">,1)</w:instrTex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根据《中华人民共和国政府采购法实施条例》第十九条“参加政府采购活动前三年内，在经营活动中没有重大违法记录”中“重大违法记录”，是指</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因违法经营受到刑事处罚或者责令停产停业、吊销许可证或者执照、较大数额罚款等行政处罚。行政处罚中“较大数额”的认定标准，参照“财政部关于《中华人民共和国政府采购法实施条例》第十九条第一款“较大数额罚款”具体适用问题的意见（财库〔2022〕3 号）”执行。</w:t>
      </w:r>
      <w:r>
        <w:rPr>
          <w:rFonts w:hint="eastAsia" w:ascii="仿宋" w:hAnsi="仿宋" w:eastAsia="仿宋" w:cs="仿宋"/>
          <w:kern w:val="0"/>
          <w:sz w:val="24"/>
          <w:szCs w:val="24"/>
          <w:lang w:val="en-US" w:eastAsia="zh-CN"/>
        </w:rPr>
        <w:t>供应商</w:t>
      </w:r>
      <w:r>
        <w:rPr>
          <w:rFonts w:hint="eastAsia" w:ascii="仿宋" w:hAnsi="仿宋" w:eastAsia="仿宋" w:cs="仿宋"/>
          <w:kern w:val="0"/>
          <w:sz w:val="24"/>
          <w:szCs w:val="24"/>
        </w:rPr>
        <w:t>可于</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递交截止时间前通过 “信用中国”网站(www.creditchina.gov.cn)、"中国政府采购网"(www.ccgp.gov.cn)等渠道查询信用记录。</w:t>
      </w:r>
    </w:p>
    <w:p w14:paraId="7470DEF1">
      <w:pPr>
        <w:pageBreakBefore w:val="0"/>
        <w:kinsoku/>
        <w:wordWrap/>
        <w:overflowPunct/>
        <w:topLinePunct w:val="0"/>
        <w:autoSpaceDE/>
        <w:autoSpaceDN/>
        <w:bidi w:val="0"/>
        <w:snapToGrid w:val="0"/>
        <w:spacing w:line="400" w:lineRule="exact"/>
        <w:ind w:lef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2.符合性审查。依据竞争性比选文件的规定，从</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的有效性、完整性和对竞争性比选文件的响应程度进行审查，以确定是否对竞争性比选文件的实质性要求作出响应。符合性审查资料表如下：</w:t>
      </w:r>
    </w:p>
    <w:tbl>
      <w:tblPr>
        <w:tblStyle w:val="24"/>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6990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65AD0E18">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序号</w:t>
            </w:r>
          </w:p>
        </w:tc>
        <w:tc>
          <w:tcPr>
            <w:tcW w:w="3544" w:type="dxa"/>
            <w:gridSpan w:val="2"/>
            <w:vAlign w:val="center"/>
          </w:tcPr>
          <w:p w14:paraId="2B685219">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评审因素</w:t>
            </w:r>
          </w:p>
        </w:tc>
        <w:tc>
          <w:tcPr>
            <w:tcW w:w="5409" w:type="dxa"/>
            <w:vAlign w:val="center"/>
          </w:tcPr>
          <w:p w14:paraId="620B3609">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b/>
                <w:kern w:val="0"/>
                <w:sz w:val="24"/>
                <w:szCs w:val="24"/>
              </w:rPr>
            </w:pPr>
            <w:r>
              <w:rPr>
                <w:rFonts w:hint="eastAsia" w:ascii="仿宋" w:hAnsi="仿宋" w:eastAsia="仿宋" w:cs="仿宋"/>
                <w:b/>
                <w:kern w:val="0"/>
                <w:sz w:val="24"/>
                <w:szCs w:val="24"/>
              </w:rPr>
              <w:t>评审标准</w:t>
            </w:r>
          </w:p>
        </w:tc>
      </w:tr>
      <w:tr w14:paraId="42FF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3CA18E1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560" w:type="dxa"/>
            <w:vMerge w:val="restart"/>
            <w:vAlign w:val="center"/>
          </w:tcPr>
          <w:p w14:paraId="712F889F">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有效性审查</w:t>
            </w:r>
          </w:p>
        </w:tc>
        <w:tc>
          <w:tcPr>
            <w:tcW w:w="1984" w:type="dxa"/>
            <w:vAlign w:val="center"/>
          </w:tcPr>
          <w:p w14:paraId="6D6D932C">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rPr>
              <w:t>签署或盖章</w:t>
            </w:r>
          </w:p>
        </w:tc>
        <w:tc>
          <w:tcPr>
            <w:tcW w:w="5409" w:type="dxa"/>
            <w:vAlign w:val="center"/>
          </w:tcPr>
          <w:p w14:paraId="444BC1C9">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rPr>
              <w:t>按竞争性比选文件“第七篇</w:t>
            </w:r>
            <w:r>
              <w:rPr>
                <w:rFonts w:hint="eastAsia" w:ascii="仿宋" w:hAnsi="仿宋" w:eastAsia="仿宋" w:cs="仿宋"/>
                <w:sz w:val="24"/>
                <w:szCs w:val="24"/>
                <w:lang w:eastAsia="zh-CN"/>
              </w:rPr>
              <w:t>响应文件</w:t>
            </w:r>
            <w:r>
              <w:rPr>
                <w:rFonts w:hint="eastAsia" w:ascii="仿宋" w:hAnsi="仿宋" w:eastAsia="仿宋" w:cs="仿宋"/>
                <w:sz w:val="24"/>
                <w:szCs w:val="24"/>
              </w:rPr>
              <w:t>编制要求”要求签署或盖章。</w:t>
            </w:r>
          </w:p>
        </w:tc>
      </w:tr>
      <w:tr w14:paraId="0822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68C3EE99">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p>
        </w:tc>
        <w:tc>
          <w:tcPr>
            <w:tcW w:w="1560" w:type="dxa"/>
            <w:vMerge w:val="continue"/>
            <w:vAlign w:val="center"/>
          </w:tcPr>
          <w:p w14:paraId="4D8263A7">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p>
        </w:tc>
        <w:tc>
          <w:tcPr>
            <w:tcW w:w="1984" w:type="dxa"/>
            <w:vAlign w:val="center"/>
          </w:tcPr>
          <w:p w14:paraId="4743DA7A">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法定代表人身份证明及授权委托书</w:t>
            </w:r>
          </w:p>
        </w:tc>
        <w:tc>
          <w:tcPr>
            <w:tcW w:w="5409" w:type="dxa"/>
            <w:vAlign w:val="center"/>
          </w:tcPr>
          <w:p w14:paraId="2F33A43E">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rPr>
            </w:pPr>
            <w:r>
              <w:rPr>
                <w:rFonts w:hint="eastAsia" w:ascii="仿宋" w:hAnsi="仿宋" w:eastAsia="仿宋" w:cs="仿宋"/>
                <w:sz w:val="24"/>
                <w:szCs w:val="24"/>
              </w:rPr>
              <w:t>法定代表人身份证明及授权委托书有效，符合竞争性比选文件规定的格式，签署或盖章齐全。</w:t>
            </w:r>
          </w:p>
        </w:tc>
      </w:tr>
      <w:tr w14:paraId="709E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3AF4E78E">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p>
        </w:tc>
        <w:tc>
          <w:tcPr>
            <w:tcW w:w="1560" w:type="dxa"/>
            <w:vMerge w:val="continue"/>
            <w:vAlign w:val="center"/>
          </w:tcPr>
          <w:p w14:paraId="5E1A2A08">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p>
        </w:tc>
        <w:tc>
          <w:tcPr>
            <w:tcW w:w="1984" w:type="dxa"/>
            <w:vAlign w:val="center"/>
          </w:tcPr>
          <w:p w14:paraId="4BA19986">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rPr>
              <w:t>响应</w:t>
            </w:r>
            <w:r>
              <w:rPr>
                <w:rFonts w:hint="eastAsia" w:ascii="仿宋" w:hAnsi="仿宋" w:eastAsia="仿宋" w:cs="仿宋"/>
                <w:sz w:val="24"/>
                <w:szCs w:val="24"/>
                <w:lang w:val="zh-CN"/>
              </w:rPr>
              <w:t>方案</w:t>
            </w:r>
          </w:p>
        </w:tc>
        <w:tc>
          <w:tcPr>
            <w:tcW w:w="5409" w:type="dxa"/>
            <w:vAlign w:val="center"/>
          </w:tcPr>
          <w:p w14:paraId="252C3561">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lang w:val="zh-CN"/>
              </w:rPr>
              <w:t>只能有一个</w:t>
            </w:r>
            <w:r>
              <w:rPr>
                <w:rFonts w:hint="eastAsia" w:ascii="仿宋" w:hAnsi="仿宋" w:eastAsia="仿宋" w:cs="仿宋"/>
                <w:sz w:val="24"/>
                <w:szCs w:val="24"/>
              </w:rPr>
              <w:t>响应</w:t>
            </w:r>
            <w:r>
              <w:rPr>
                <w:rFonts w:hint="eastAsia" w:ascii="仿宋" w:hAnsi="仿宋" w:eastAsia="仿宋" w:cs="仿宋"/>
                <w:sz w:val="24"/>
                <w:szCs w:val="24"/>
                <w:lang w:val="zh-CN"/>
              </w:rPr>
              <w:t>方案。</w:t>
            </w:r>
          </w:p>
        </w:tc>
      </w:tr>
      <w:tr w14:paraId="0E47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vAlign w:val="center"/>
          </w:tcPr>
          <w:p w14:paraId="751C45A1">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p>
        </w:tc>
        <w:tc>
          <w:tcPr>
            <w:tcW w:w="1560" w:type="dxa"/>
            <w:vMerge w:val="continue"/>
            <w:vAlign w:val="center"/>
          </w:tcPr>
          <w:p w14:paraId="0BCF9322">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p>
        </w:tc>
        <w:tc>
          <w:tcPr>
            <w:tcW w:w="1984" w:type="dxa"/>
            <w:vAlign w:val="center"/>
          </w:tcPr>
          <w:p w14:paraId="77E529C9">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sz w:val="24"/>
                <w:szCs w:val="24"/>
              </w:rPr>
              <w:t>报价唯一</w:t>
            </w:r>
          </w:p>
        </w:tc>
        <w:tc>
          <w:tcPr>
            <w:tcW w:w="5409" w:type="dxa"/>
            <w:vAlign w:val="center"/>
          </w:tcPr>
          <w:p w14:paraId="442394B9">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rPr>
              <w:t>只能有一个有效报价，不得提交选择性报价。</w:t>
            </w:r>
          </w:p>
        </w:tc>
      </w:tr>
      <w:tr w14:paraId="2DE86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675" w:type="dxa"/>
            <w:vAlign w:val="center"/>
          </w:tcPr>
          <w:p w14:paraId="3BA6ED0D">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560" w:type="dxa"/>
            <w:vAlign w:val="center"/>
          </w:tcPr>
          <w:p w14:paraId="6754B098">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完整性审查</w:t>
            </w:r>
          </w:p>
        </w:tc>
        <w:tc>
          <w:tcPr>
            <w:tcW w:w="1984" w:type="dxa"/>
            <w:vAlign w:val="center"/>
          </w:tcPr>
          <w:p w14:paraId="50BF5123">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lang w:val="zh-CN"/>
              </w:rPr>
              <w:t>份数</w:t>
            </w:r>
          </w:p>
        </w:tc>
        <w:tc>
          <w:tcPr>
            <w:tcW w:w="5409" w:type="dxa"/>
            <w:vAlign w:val="center"/>
          </w:tcPr>
          <w:p w14:paraId="612F3D17">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sz w:val="24"/>
                <w:szCs w:val="24"/>
                <w:lang w:eastAsia="zh-CN"/>
              </w:rPr>
              <w:t>响应文件</w:t>
            </w:r>
            <w:r>
              <w:rPr>
                <w:rFonts w:hint="eastAsia" w:ascii="仿宋" w:hAnsi="仿宋" w:eastAsia="仿宋" w:cs="仿宋"/>
                <w:sz w:val="24"/>
                <w:szCs w:val="24"/>
                <w:lang w:val="zh-CN"/>
              </w:rPr>
              <w:t>正、副本数量</w:t>
            </w:r>
            <w:r>
              <w:rPr>
                <w:rFonts w:hint="eastAsia" w:ascii="仿宋" w:hAnsi="仿宋" w:eastAsia="仿宋" w:cs="仿宋"/>
                <w:sz w:val="24"/>
                <w:szCs w:val="24"/>
                <w:lang w:val="en-US" w:eastAsia="zh-CN"/>
              </w:rPr>
              <w:t>(含电子文档)</w:t>
            </w:r>
            <w:r>
              <w:rPr>
                <w:rFonts w:hint="eastAsia" w:ascii="仿宋" w:hAnsi="仿宋" w:eastAsia="仿宋" w:cs="仿宋"/>
                <w:sz w:val="24"/>
                <w:szCs w:val="24"/>
                <w:lang w:val="zh-CN"/>
              </w:rPr>
              <w:t>符合</w:t>
            </w:r>
            <w:r>
              <w:rPr>
                <w:rFonts w:hint="eastAsia" w:ascii="仿宋" w:hAnsi="仿宋" w:eastAsia="仿宋" w:cs="仿宋"/>
                <w:sz w:val="24"/>
                <w:szCs w:val="24"/>
              </w:rPr>
              <w:t>竞争性比选</w:t>
            </w:r>
            <w:r>
              <w:rPr>
                <w:rFonts w:hint="eastAsia" w:ascii="仿宋" w:hAnsi="仿宋" w:eastAsia="仿宋" w:cs="仿宋"/>
                <w:sz w:val="24"/>
                <w:szCs w:val="24"/>
                <w:lang w:val="zh-CN"/>
              </w:rPr>
              <w:t>文件要求。</w:t>
            </w:r>
          </w:p>
        </w:tc>
      </w:tr>
      <w:tr w14:paraId="3686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31EEFBD3">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560" w:type="dxa"/>
            <w:vMerge w:val="restart"/>
            <w:vAlign w:val="center"/>
          </w:tcPr>
          <w:p w14:paraId="50BC2819">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r>
              <w:rPr>
                <w:rFonts w:hint="eastAsia" w:ascii="仿宋" w:hAnsi="仿宋" w:eastAsia="仿宋" w:cs="仿宋"/>
                <w:kern w:val="0"/>
                <w:sz w:val="24"/>
                <w:szCs w:val="24"/>
              </w:rPr>
              <w:t>响应程度审查</w:t>
            </w:r>
          </w:p>
        </w:tc>
        <w:tc>
          <w:tcPr>
            <w:tcW w:w="1984" w:type="dxa"/>
            <w:vAlign w:val="center"/>
          </w:tcPr>
          <w:p w14:paraId="4923169B">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实质性响应</w:t>
            </w:r>
          </w:p>
        </w:tc>
        <w:tc>
          <w:tcPr>
            <w:tcW w:w="5409" w:type="dxa"/>
            <w:vAlign w:val="center"/>
          </w:tcPr>
          <w:p w14:paraId="4516AD7C">
            <w:pPr>
              <w:pStyle w:val="13"/>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rPr>
              <w:t>竞争性比选文件第二篇、第三篇的全部要求</w:t>
            </w:r>
            <w:r>
              <w:rPr>
                <w:rFonts w:hint="eastAsia" w:ascii="仿宋" w:hAnsi="仿宋" w:eastAsia="仿宋" w:cs="仿宋"/>
                <w:kern w:val="0"/>
                <w:sz w:val="24"/>
                <w:szCs w:val="24"/>
                <w:lang w:eastAsia="zh-CN"/>
              </w:rPr>
              <w:t>。</w:t>
            </w:r>
          </w:p>
        </w:tc>
      </w:tr>
      <w:tr w14:paraId="021A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vMerge w:val="continue"/>
            <w:vAlign w:val="center"/>
          </w:tcPr>
          <w:p w14:paraId="23534EDB">
            <w:pPr>
              <w:pageBreakBefore w:val="0"/>
              <w:kinsoku/>
              <w:wordWrap/>
              <w:overflowPunct/>
              <w:topLinePunct w:val="0"/>
              <w:autoSpaceDE/>
              <w:autoSpaceDN/>
              <w:bidi w:val="0"/>
              <w:spacing w:line="400" w:lineRule="exact"/>
              <w:ind w:leftChars="0"/>
              <w:jc w:val="center"/>
              <w:textAlignment w:val="auto"/>
              <w:rPr>
                <w:rFonts w:hint="eastAsia" w:ascii="仿宋" w:hAnsi="仿宋" w:eastAsia="仿宋" w:cs="仿宋"/>
                <w:kern w:val="0"/>
                <w:sz w:val="24"/>
                <w:szCs w:val="24"/>
              </w:rPr>
            </w:pPr>
          </w:p>
        </w:tc>
        <w:tc>
          <w:tcPr>
            <w:tcW w:w="1560" w:type="dxa"/>
            <w:vMerge w:val="continue"/>
            <w:vAlign w:val="center"/>
          </w:tcPr>
          <w:p w14:paraId="10474F3E">
            <w:pPr>
              <w:pageBreakBefore w:val="0"/>
              <w:kinsoku/>
              <w:wordWrap/>
              <w:overflowPunct/>
              <w:topLinePunct w:val="0"/>
              <w:autoSpaceDE/>
              <w:autoSpaceDN/>
              <w:bidi w:val="0"/>
              <w:spacing w:line="400" w:lineRule="exact"/>
              <w:ind w:leftChars="0"/>
              <w:textAlignment w:val="auto"/>
              <w:rPr>
                <w:rFonts w:hint="eastAsia" w:ascii="仿宋" w:hAnsi="仿宋" w:eastAsia="仿宋" w:cs="仿宋"/>
                <w:sz w:val="24"/>
                <w:szCs w:val="24"/>
                <w:lang w:val="zh-CN"/>
              </w:rPr>
            </w:pPr>
          </w:p>
        </w:tc>
        <w:tc>
          <w:tcPr>
            <w:tcW w:w="1984" w:type="dxa"/>
            <w:vAlign w:val="center"/>
          </w:tcPr>
          <w:p w14:paraId="4BFB5BFE">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rPr>
              <w:t>投标有效期</w:t>
            </w:r>
          </w:p>
        </w:tc>
        <w:tc>
          <w:tcPr>
            <w:tcW w:w="5409" w:type="dxa"/>
            <w:vAlign w:val="center"/>
          </w:tcPr>
          <w:p w14:paraId="7208C733">
            <w:pPr>
              <w:pageBreakBefore w:val="0"/>
              <w:kinsoku/>
              <w:wordWrap/>
              <w:overflowPunct/>
              <w:topLinePunct w:val="0"/>
              <w:autoSpaceDE/>
              <w:autoSpaceDN/>
              <w:bidi w:val="0"/>
              <w:spacing w:line="400" w:lineRule="exact"/>
              <w:ind w:leftChars="0"/>
              <w:textAlignment w:val="auto"/>
              <w:rPr>
                <w:rFonts w:hint="eastAsia" w:ascii="仿宋" w:hAnsi="仿宋" w:eastAsia="仿宋" w:cs="仿宋"/>
                <w:kern w:val="0"/>
                <w:sz w:val="24"/>
                <w:szCs w:val="24"/>
              </w:rPr>
            </w:pP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及有关承诺文件有效期为提交</w:t>
            </w:r>
            <w:r>
              <w:rPr>
                <w:rFonts w:hint="eastAsia" w:ascii="仿宋" w:hAnsi="仿宋" w:eastAsia="仿宋" w:cs="仿宋"/>
                <w:kern w:val="0"/>
                <w:sz w:val="24"/>
                <w:szCs w:val="24"/>
                <w:lang w:eastAsia="zh-CN"/>
              </w:rPr>
              <w:t>响应文件</w:t>
            </w:r>
            <w:r>
              <w:rPr>
                <w:rFonts w:hint="eastAsia" w:ascii="仿宋" w:hAnsi="仿宋" w:eastAsia="仿宋" w:cs="仿宋"/>
                <w:kern w:val="0"/>
                <w:sz w:val="24"/>
                <w:szCs w:val="24"/>
              </w:rPr>
              <w:t>截止时间起90天。</w:t>
            </w:r>
          </w:p>
        </w:tc>
      </w:tr>
    </w:tbl>
    <w:p w14:paraId="526C2329">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3.在采购过程中符合要求的</w:t>
      </w:r>
      <w:r>
        <w:rPr>
          <w:rFonts w:hint="eastAsia" w:ascii="仿宋" w:hAnsi="仿宋" w:eastAsia="仿宋" w:cs="仿宋"/>
          <w:sz w:val="24"/>
          <w:szCs w:val="24"/>
          <w:lang w:val="en-US" w:eastAsia="zh-CN"/>
        </w:rPr>
        <w:t>供应商</w:t>
      </w:r>
      <w:r>
        <w:rPr>
          <w:rFonts w:hint="eastAsia" w:ascii="仿宋" w:hAnsi="仿宋" w:eastAsia="仿宋" w:cs="仿宋"/>
          <w:sz w:val="24"/>
          <w:szCs w:val="24"/>
        </w:rPr>
        <w:t>不足3家的，比选采购活动中止并重新开展采购活动。</w:t>
      </w:r>
    </w:p>
    <w:p w14:paraId="272851FB">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（三）澄清有关问题。评审小组在对</w:t>
      </w:r>
      <w:r>
        <w:rPr>
          <w:rFonts w:hint="eastAsia" w:ascii="仿宋" w:hAnsi="仿宋" w:eastAsia="仿宋" w:cs="仿宋"/>
          <w:sz w:val="24"/>
          <w:szCs w:val="24"/>
          <w:lang w:eastAsia="zh-CN"/>
        </w:rPr>
        <w:t>响应文件</w:t>
      </w:r>
      <w:r>
        <w:rPr>
          <w:rFonts w:hint="eastAsia" w:ascii="仿宋" w:hAnsi="仿宋" w:eastAsia="仿宋" w:cs="仿宋"/>
          <w:sz w:val="24"/>
          <w:szCs w:val="24"/>
        </w:rPr>
        <w:t>的有效性、完整性和响应程度进行审查时，可以要求</w:t>
      </w:r>
      <w:r>
        <w:rPr>
          <w:rFonts w:hint="eastAsia" w:ascii="仿宋" w:hAnsi="仿宋" w:eastAsia="仿宋" w:cs="仿宋"/>
          <w:sz w:val="24"/>
          <w:szCs w:val="24"/>
          <w:lang w:val="en-US" w:eastAsia="zh-CN"/>
        </w:rPr>
        <w:t>供应商</w:t>
      </w:r>
      <w:r>
        <w:rPr>
          <w:rFonts w:hint="eastAsia" w:ascii="仿宋" w:hAnsi="仿宋" w:eastAsia="仿宋" w:cs="仿宋"/>
          <w:sz w:val="24"/>
          <w:szCs w:val="24"/>
        </w:rPr>
        <w:t>对</w:t>
      </w:r>
      <w:r>
        <w:rPr>
          <w:rFonts w:hint="eastAsia" w:ascii="仿宋" w:hAnsi="仿宋" w:eastAsia="仿宋" w:cs="仿宋"/>
          <w:sz w:val="24"/>
          <w:szCs w:val="24"/>
          <w:lang w:eastAsia="zh-CN"/>
        </w:rPr>
        <w:t>响应文件</w:t>
      </w:r>
      <w:r>
        <w:rPr>
          <w:rFonts w:hint="eastAsia" w:ascii="仿宋" w:hAnsi="仿宋" w:eastAsia="仿宋" w:cs="仿宋"/>
          <w:sz w:val="24"/>
          <w:szCs w:val="24"/>
        </w:rPr>
        <w:t>中含义不明确、同类问题表述不一致或者有明显文字和计算错误的内容等作出必要的澄清、说明或者更正。</w:t>
      </w:r>
      <w:r>
        <w:rPr>
          <w:rFonts w:hint="eastAsia" w:ascii="仿宋" w:hAnsi="仿宋" w:eastAsia="仿宋" w:cs="仿宋"/>
          <w:sz w:val="24"/>
          <w:szCs w:val="24"/>
          <w:lang w:val="en-US" w:eastAsia="zh-CN"/>
        </w:rPr>
        <w:t>供应商</w:t>
      </w:r>
      <w:r>
        <w:rPr>
          <w:rFonts w:hint="eastAsia" w:ascii="仿宋" w:hAnsi="仿宋" w:eastAsia="仿宋" w:cs="仿宋"/>
          <w:sz w:val="24"/>
          <w:szCs w:val="24"/>
        </w:rPr>
        <w:t>的澄清、说明或者更正不得超出</w:t>
      </w:r>
      <w:r>
        <w:rPr>
          <w:rFonts w:hint="eastAsia" w:ascii="仿宋" w:hAnsi="仿宋" w:eastAsia="仿宋" w:cs="仿宋"/>
          <w:sz w:val="24"/>
          <w:szCs w:val="24"/>
          <w:lang w:eastAsia="zh-CN"/>
        </w:rPr>
        <w:t>响应文件</w:t>
      </w:r>
      <w:r>
        <w:rPr>
          <w:rFonts w:hint="eastAsia" w:ascii="仿宋" w:hAnsi="仿宋" w:eastAsia="仿宋" w:cs="仿宋"/>
          <w:sz w:val="24"/>
          <w:szCs w:val="24"/>
        </w:rPr>
        <w:t>的范围或者改变</w:t>
      </w:r>
      <w:r>
        <w:rPr>
          <w:rFonts w:hint="eastAsia" w:ascii="仿宋" w:hAnsi="仿宋" w:eastAsia="仿宋" w:cs="仿宋"/>
          <w:sz w:val="24"/>
          <w:szCs w:val="24"/>
          <w:lang w:eastAsia="zh-CN"/>
        </w:rPr>
        <w:t>响应文件</w:t>
      </w:r>
      <w:r>
        <w:rPr>
          <w:rFonts w:hint="eastAsia" w:ascii="仿宋" w:hAnsi="仿宋" w:eastAsia="仿宋" w:cs="仿宋"/>
          <w:sz w:val="24"/>
          <w:szCs w:val="24"/>
        </w:rPr>
        <w:t>的实质性内容。</w:t>
      </w:r>
    </w:p>
    <w:p w14:paraId="2BFFDC71">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（四）评审小组要求</w:t>
      </w:r>
      <w:r>
        <w:rPr>
          <w:rFonts w:hint="eastAsia" w:ascii="仿宋" w:hAnsi="仿宋" w:eastAsia="仿宋" w:cs="仿宋"/>
          <w:sz w:val="24"/>
          <w:szCs w:val="24"/>
          <w:lang w:val="en-US" w:eastAsia="zh-CN"/>
        </w:rPr>
        <w:t>供应商</w:t>
      </w:r>
      <w:r>
        <w:rPr>
          <w:rFonts w:hint="eastAsia" w:ascii="仿宋" w:hAnsi="仿宋" w:eastAsia="仿宋" w:cs="仿宋"/>
          <w:sz w:val="24"/>
          <w:szCs w:val="24"/>
        </w:rPr>
        <w:t>澄清、说明或者更正</w:t>
      </w:r>
      <w:r>
        <w:rPr>
          <w:rFonts w:hint="eastAsia" w:ascii="仿宋" w:hAnsi="仿宋" w:eastAsia="仿宋" w:cs="仿宋"/>
          <w:sz w:val="24"/>
          <w:szCs w:val="24"/>
          <w:lang w:eastAsia="zh-CN"/>
        </w:rPr>
        <w:t>响应文件</w:t>
      </w:r>
      <w:r>
        <w:rPr>
          <w:rFonts w:hint="eastAsia" w:ascii="仿宋" w:hAnsi="仿宋" w:eastAsia="仿宋" w:cs="仿宋"/>
          <w:sz w:val="24"/>
          <w:szCs w:val="24"/>
        </w:rPr>
        <w:t>应当以书面形式作出。</w:t>
      </w:r>
      <w:r>
        <w:rPr>
          <w:rFonts w:hint="eastAsia" w:ascii="仿宋" w:hAnsi="仿宋" w:eastAsia="仿宋" w:cs="仿宋"/>
          <w:sz w:val="24"/>
          <w:szCs w:val="24"/>
          <w:lang w:val="en-US" w:eastAsia="zh-CN"/>
        </w:rPr>
        <w:t>供应商</w:t>
      </w:r>
      <w:r>
        <w:rPr>
          <w:rFonts w:hint="eastAsia" w:ascii="仿宋" w:hAnsi="仿宋" w:eastAsia="仿宋" w:cs="仿宋"/>
          <w:sz w:val="24"/>
          <w:szCs w:val="24"/>
        </w:rPr>
        <w:t>的澄清、说明或者更正应当由法定代表人或其授权代表签字或者加盖公章。由授权代表签字的，应当附法定代表人授权书。</w:t>
      </w:r>
      <w:r>
        <w:rPr>
          <w:rFonts w:hint="eastAsia" w:ascii="仿宋" w:hAnsi="仿宋" w:eastAsia="仿宋" w:cs="仿宋"/>
          <w:sz w:val="24"/>
          <w:szCs w:val="24"/>
          <w:lang w:val="en-US" w:eastAsia="zh-CN"/>
        </w:rPr>
        <w:t>供应商</w:t>
      </w:r>
      <w:r>
        <w:rPr>
          <w:rFonts w:hint="eastAsia" w:ascii="仿宋" w:hAnsi="仿宋" w:eastAsia="仿宋" w:cs="仿宋"/>
          <w:sz w:val="24"/>
          <w:szCs w:val="24"/>
        </w:rPr>
        <w:t>为自然人的，应当由本人签字并附身份证明。</w:t>
      </w:r>
    </w:p>
    <w:p w14:paraId="2E5E6657">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（五）在比选过程中比选的任何一方不得向他人透露与比选有关的服务资料、价格或其他信息。</w:t>
      </w:r>
    </w:p>
    <w:p w14:paraId="7AB5D53F">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在比选过程中，评审小组可以根据竞争性比选文件和比选情况实质性变动采购需求中的服务、商务要求以及合同草案条款，但不得变动竞争性比选文件中的其他内容。实质性变动的内容，须经采购人代表确认。对竞争性比选文件作出的实质性变动是竞争性比选文件的有效组成部分，评审小组应当及时以书面形式同时通知所有参加比选的</w:t>
      </w:r>
      <w:r>
        <w:rPr>
          <w:rFonts w:hint="eastAsia" w:ascii="仿宋" w:hAnsi="仿宋" w:eastAsia="仿宋" w:cs="仿宋"/>
          <w:sz w:val="24"/>
          <w:szCs w:val="24"/>
          <w:lang w:val="en-US" w:eastAsia="zh-CN"/>
        </w:rPr>
        <w:t>供应商</w:t>
      </w:r>
      <w:r>
        <w:rPr>
          <w:rFonts w:hint="eastAsia" w:ascii="仿宋" w:hAnsi="仿宋" w:eastAsia="仿宋" w:cs="仿宋"/>
          <w:sz w:val="24"/>
          <w:szCs w:val="24"/>
        </w:rPr>
        <w:t>。</w:t>
      </w:r>
    </w:p>
    <w:p w14:paraId="394A3F19">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w:t>
      </w:r>
      <w:r>
        <w:rPr>
          <w:rFonts w:hint="eastAsia" w:ascii="仿宋" w:hAnsi="仿宋" w:eastAsia="仿宋" w:cs="仿宋"/>
          <w:sz w:val="24"/>
          <w:szCs w:val="24"/>
          <w:lang w:val="en-US" w:eastAsia="zh-CN"/>
        </w:rPr>
        <w:t>供应商</w:t>
      </w:r>
      <w:r>
        <w:rPr>
          <w:rFonts w:hint="eastAsia" w:ascii="仿宋" w:hAnsi="仿宋" w:eastAsia="仿宋" w:cs="仿宋"/>
          <w:sz w:val="24"/>
          <w:szCs w:val="24"/>
        </w:rPr>
        <w:t>在比选时作出的所有书面承诺须由法定代表人或其授权代表签字。</w:t>
      </w:r>
    </w:p>
    <w:p w14:paraId="593DC1BD">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（八）评审小组采用综合评分法对提交了报价的</w:t>
      </w:r>
      <w:r>
        <w:rPr>
          <w:rFonts w:hint="eastAsia" w:ascii="仿宋" w:hAnsi="仿宋" w:eastAsia="仿宋" w:cs="仿宋"/>
          <w:sz w:val="24"/>
          <w:szCs w:val="24"/>
          <w:lang w:val="en-US" w:eastAsia="zh-CN"/>
        </w:rPr>
        <w:t>供应商</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和报价（含有效书面承诺）进行综合评分。综合评分法，是指</w:t>
      </w:r>
      <w:r>
        <w:rPr>
          <w:rFonts w:hint="eastAsia" w:ascii="仿宋" w:hAnsi="仿宋" w:eastAsia="仿宋" w:cs="仿宋"/>
          <w:sz w:val="24"/>
          <w:szCs w:val="24"/>
          <w:lang w:eastAsia="zh-CN"/>
        </w:rPr>
        <w:t>响应文件</w:t>
      </w:r>
      <w:r>
        <w:rPr>
          <w:rFonts w:hint="eastAsia" w:ascii="仿宋" w:hAnsi="仿宋" w:eastAsia="仿宋" w:cs="仿宋"/>
          <w:sz w:val="24"/>
          <w:szCs w:val="24"/>
        </w:rPr>
        <w:t>满足竞争性比选文件全部实质性要求且按照评审因素的量化指标评审得分最高的</w:t>
      </w:r>
      <w:r>
        <w:rPr>
          <w:rFonts w:hint="eastAsia" w:ascii="仿宋" w:hAnsi="仿宋" w:eastAsia="仿宋" w:cs="仿宋"/>
          <w:sz w:val="24"/>
          <w:szCs w:val="24"/>
          <w:lang w:val="en-US" w:eastAsia="zh-CN"/>
        </w:rPr>
        <w:t>供应商</w:t>
      </w:r>
      <w:r>
        <w:rPr>
          <w:rFonts w:hint="eastAsia" w:ascii="仿宋" w:hAnsi="仿宋" w:eastAsia="仿宋" w:cs="仿宋"/>
          <w:sz w:val="24"/>
          <w:szCs w:val="24"/>
        </w:rPr>
        <w:t>为</w:t>
      </w:r>
      <w:r>
        <w:rPr>
          <w:rFonts w:hint="eastAsia" w:ascii="仿宋" w:hAnsi="仿宋" w:eastAsia="仿宋" w:cs="仿宋"/>
          <w:sz w:val="24"/>
          <w:szCs w:val="24"/>
          <w:lang w:eastAsia="zh-CN"/>
        </w:rPr>
        <w:t>中标</w:t>
      </w:r>
      <w:r>
        <w:rPr>
          <w:rFonts w:hint="eastAsia" w:ascii="仿宋" w:hAnsi="仿宋" w:eastAsia="仿宋" w:cs="仿宋"/>
          <w:sz w:val="24"/>
          <w:szCs w:val="24"/>
        </w:rPr>
        <w:t>候选人的评审方法。</w:t>
      </w:r>
      <w:r>
        <w:rPr>
          <w:rFonts w:hint="eastAsia" w:ascii="仿宋" w:hAnsi="仿宋" w:eastAsia="仿宋" w:cs="仿宋"/>
          <w:sz w:val="24"/>
          <w:szCs w:val="24"/>
          <w:lang w:val="en-US" w:eastAsia="zh-CN"/>
        </w:rPr>
        <w:t>供应商</w:t>
      </w:r>
      <w:r>
        <w:rPr>
          <w:rFonts w:hint="eastAsia" w:ascii="仿宋" w:hAnsi="仿宋" w:eastAsia="仿宋" w:cs="仿宋"/>
          <w:sz w:val="24"/>
          <w:szCs w:val="24"/>
        </w:rPr>
        <w:t>总得分为价格、服务、商务等评定因素分别按照相应权重值计算分项得分后相加，满分为100分。</w:t>
      </w:r>
    </w:p>
    <w:p w14:paraId="02FACA6E">
      <w:pPr>
        <w:pageBreakBefore w:val="0"/>
        <w:kinsoku/>
        <w:wordWrap/>
        <w:overflowPunct/>
        <w:topLinePunct w:val="0"/>
        <w:autoSpaceDE/>
        <w:autoSpaceDN/>
        <w:bidi w:val="0"/>
        <w:spacing w:line="400" w:lineRule="exact"/>
        <w:ind w:lef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（九）评审小组各成员独立对每个有效响应（通过资格性检查、符合性检查的</w:t>
      </w:r>
      <w:r>
        <w:rPr>
          <w:rFonts w:hint="eastAsia" w:ascii="仿宋" w:hAnsi="仿宋" w:eastAsia="仿宋" w:cs="仿宋"/>
          <w:sz w:val="24"/>
          <w:szCs w:val="24"/>
          <w:lang w:val="en-US" w:eastAsia="zh-CN"/>
        </w:rPr>
        <w:t>供应商</w:t>
      </w:r>
      <w:r>
        <w:rPr>
          <w:rFonts w:hint="eastAsia" w:ascii="仿宋" w:hAnsi="仿宋" w:eastAsia="仿宋" w:cs="仿宋"/>
          <w:sz w:val="24"/>
          <w:szCs w:val="24"/>
        </w:rPr>
        <w:t>）的文件进行评价、打分，然后汇总每个</w:t>
      </w:r>
      <w:r>
        <w:rPr>
          <w:rFonts w:hint="eastAsia" w:ascii="仿宋" w:hAnsi="仿宋" w:eastAsia="仿宋" w:cs="仿宋"/>
          <w:sz w:val="24"/>
          <w:szCs w:val="24"/>
          <w:lang w:val="en-US" w:eastAsia="zh-CN"/>
        </w:rPr>
        <w:t>供应商</w:t>
      </w:r>
      <w:r>
        <w:rPr>
          <w:rFonts w:hint="eastAsia" w:ascii="仿宋" w:hAnsi="仿宋" w:eastAsia="仿宋" w:cs="仿宋"/>
          <w:sz w:val="24"/>
          <w:szCs w:val="24"/>
        </w:rPr>
        <w:t>每项评分因素的得分</w:t>
      </w:r>
      <w:r>
        <w:rPr>
          <w:rFonts w:hint="eastAsia" w:ascii="仿宋" w:hAnsi="仿宋" w:eastAsia="仿宋" w:cs="仿宋"/>
          <w:b w:val="0"/>
          <w:bCs w:val="0"/>
          <w:sz w:val="24"/>
          <w:szCs w:val="24"/>
        </w:rPr>
        <w:t>，并根据综合评分情况按照评审得分由高到低顺序推荐</w:t>
      </w:r>
      <w:r>
        <w:rPr>
          <w:rFonts w:hint="eastAsia" w:ascii="仿宋" w:hAnsi="仿宋" w:eastAsia="仿宋" w:cs="仿宋"/>
          <w:b w:val="0"/>
          <w:bCs w:val="0"/>
          <w:sz w:val="24"/>
          <w:szCs w:val="24"/>
          <w:lang w:eastAsia="zh-CN"/>
        </w:rPr>
        <w:t>中标</w:t>
      </w:r>
      <w:r>
        <w:rPr>
          <w:rFonts w:hint="eastAsia" w:ascii="仿宋" w:hAnsi="仿宋" w:eastAsia="仿宋" w:cs="仿宋"/>
          <w:b w:val="0"/>
          <w:bCs w:val="0"/>
          <w:sz w:val="24"/>
          <w:szCs w:val="24"/>
        </w:rPr>
        <w:t>候选</w:t>
      </w:r>
      <w:r>
        <w:rPr>
          <w:rFonts w:hint="eastAsia" w:ascii="仿宋" w:hAnsi="仿宋" w:eastAsia="仿宋" w:cs="仿宋"/>
          <w:b w:val="0"/>
          <w:bCs w:val="0"/>
          <w:sz w:val="24"/>
          <w:szCs w:val="24"/>
          <w:lang w:val="en-US" w:eastAsia="zh-CN"/>
        </w:rPr>
        <w:t>供应商</w:t>
      </w:r>
      <w:r>
        <w:rPr>
          <w:rFonts w:hint="eastAsia" w:ascii="仿宋" w:hAnsi="仿宋" w:eastAsia="仿宋" w:cs="仿宋"/>
          <w:b w:val="0"/>
          <w:bCs w:val="0"/>
          <w:sz w:val="24"/>
          <w:szCs w:val="24"/>
        </w:rPr>
        <w:t>，并</w:t>
      </w:r>
      <w:r>
        <w:rPr>
          <w:rFonts w:hint="eastAsia" w:ascii="仿宋" w:hAnsi="仿宋" w:eastAsia="仿宋" w:cs="仿宋"/>
          <w:sz w:val="24"/>
          <w:szCs w:val="24"/>
        </w:rPr>
        <w:t>编写评审报告。若</w:t>
      </w:r>
      <w:r>
        <w:rPr>
          <w:rFonts w:hint="eastAsia" w:ascii="仿宋" w:hAnsi="仿宋" w:eastAsia="仿宋" w:cs="仿宋"/>
          <w:sz w:val="24"/>
          <w:szCs w:val="24"/>
          <w:lang w:val="en-US" w:eastAsia="zh-CN"/>
        </w:rPr>
        <w:t>供应商</w:t>
      </w:r>
      <w:r>
        <w:rPr>
          <w:rFonts w:hint="eastAsia" w:ascii="仿宋" w:hAnsi="仿宋" w:eastAsia="仿宋" w:cs="仿宋"/>
          <w:sz w:val="24"/>
          <w:szCs w:val="24"/>
        </w:rPr>
        <w:t>的评审得分相同的，按照最后报价由低到高的顺序排列推荐。评审得分且最后报价相同的，按照服务指标优劣顺序排列推荐。以上都相同的，按商务条款的优劣顺序排列推荐。若</w:t>
      </w:r>
      <w:r>
        <w:rPr>
          <w:rFonts w:hint="eastAsia" w:ascii="仿宋" w:hAnsi="仿宋" w:eastAsia="仿宋" w:cs="仿宋"/>
          <w:sz w:val="24"/>
          <w:szCs w:val="24"/>
          <w:lang w:val="en-US" w:eastAsia="zh-CN"/>
        </w:rPr>
        <w:t>供应商</w:t>
      </w:r>
      <w:r>
        <w:rPr>
          <w:rFonts w:hint="eastAsia" w:ascii="仿宋" w:hAnsi="仿宋" w:eastAsia="仿宋" w:cs="仿宋"/>
          <w:sz w:val="24"/>
          <w:szCs w:val="24"/>
        </w:rPr>
        <w:t>的服务部分为0分，将失去成为</w:t>
      </w:r>
      <w:r>
        <w:rPr>
          <w:rFonts w:hint="eastAsia" w:ascii="仿宋" w:hAnsi="仿宋" w:eastAsia="仿宋" w:cs="仿宋"/>
          <w:sz w:val="24"/>
          <w:szCs w:val="24"/>
          <w:lang w:eastAsia="zh-CN"/>
        </w:rPr>
        <w:t>中标</w:t>
      </w:r>
      <w:r>
        <w:rPr>
          <w:rFonts w:hint="eastAsia" w:ascii="仿宋" w:hAnsi="仿宋" w:eastAsia="仿宋" w:cs="仿宋"/>
          <w:sz w:val="24"/>
          <w:szCs w:val="24"/>
        </w:rPr>
        <w:t>候选</w:t>
      </w:r>
      <w:r>
        <w:rPr>
          <w:rFonts w:hint="eastAsia" w:ascii="仿宋" w:hAnsi="仿宋" w:eastAsia="仿宋" w:cs="仿宋"/>
          <w:sz w:val="24"/>
          <w:szCs w:val="24"/>
          <w:lang w:val="en-US" w:eastAsia="zh-CN"/>
        </w:rPr>
        <w:t>供应商</w:t>
      </w:r>
      <w:r>
        <w:rPr>
          <w:rFonts w:hint="eastAsia" w:ascii="仿宋" w:hAnsi="仿宋" w:eastAsia="仿宋" w:cs="仿宋"/>
          <w:sz w:val="24"/>
          <w:szCs w:val="24"/>
        </w:rPr>
        <w:t>的资格。</w:t>
      </w:r>
    </w:p>
    <w:p w14:paraId="4CEAFA1A">
      <w:pPr>
        <w:pStyle w:val="3"/>
        <w:pageBreakBefore w:val="0"/>
        <w:widowControl w:val="0"/>
        <w:kinsoku/>
        <w:wordWrap/>
        <w:overflowPunct/>
        <w:topLinePunct w:val="0"/>
        <w:autoSpaceDE/>
        <w:autoSpaceDN/>
        <w:bidi w:val="0"/>
        <w:spacing w:line="400" w:lineRule="exact"/>
        <w:ind w:firstLine="482" w:firstLineChars="200"/>
        <w:textAlignment w:val="auto"/>
        <w:rPr>
          <w:rFonts w:hint="eastAsia" w:ascii="仿宋" w:hAnsi="仿宋" w:eastAsia="仿宋" w:cs="仿宋"/>
          <w:b/>
          <w:bCs/>
          <w:color w:val="auto"/>
          <w:sz w:val="24"/>
          <w:szCs w:val="24"/>
          <w:highlight w:val="none"/>
          <w:lang w:val="en-US" w:eastAsia="zh-CN"/>
        </w:rPr>
      </w:pPr>
      <w:bookmarkStart w:id="104" w:name="_Toc21542"/>
      <w:bookmarkStart w:id="105" w:name="_Toc4170"/>
      <w:bookmarkStart w:id="106" w:name="_Toc28213"/>
      <w:bookmarkStart w:id="107" w:name="_Toc27370"/>
      <w:r>
        <w:rPr>
          <w:rFonts w:hint="eastAsia" w:ascii="仿宋" w:hAnsi="仿宋" w:eastAsia="仿宋" w:cs="仿宋"/>
          <w:b/>
          <w:bCs/>
          <w:color w:val="auto"/>
          <w:sz w:val="24"/>
          <w:szCs w:val="24"/>
          <w:highlight w:val="none"/>
          <w:lang w:val="en-US" w:eastAsia="zh-CN"/>
        </w:rPr>
        <w:t>二、评审标准</w:t>
      </w:r>
      <w:bookmarkEnd w:id="104"/>
      <w:bookmarkEnd w:id="105"/>
      <w:bookmarkEnd w:id="106"/>
      <w:bookmarkEnd w:id="107"/>
    </w:p>
    <w:tbl>
      <w:tblPr>
        <w:tblStyle w:val="24"/>
        <w:tblpPr w:leftFromText="180" w:rightFromText="180" w:vertAnchor="text" w:horzAnchor="page" w:tblpX="1305" w:tblpY="390"/>
        <w:tblOverlap w:val="never"/>
        <w:tblW w:w="9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250"/>
        <w:gridCol w:w="1277"/>
        <w:gridCol w:w="4145"/>
        <w:gridCol w:w="2475"/>
      </w:tblGrid>
      <w:tr w14:paraId="0655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Align w:val="center"/>
          </w:tcPr>
          <w:p w14:paraId="04F5B1BD">
            <w:pPr>
              <w:keepNext w:val="0"/>
              <w:keepLines w:val="0"/>
              <w:pageBreakBefore w:val="0"/>
              <w:widowControl w:val="0"/>
              <w:kinsoku/>
              <w:wordWrap/>
              <w:overflowPunct/>
              <w:topLinePunct w:val="0"/>
              <w:autoSpaceDE/>
              <w:autoSpaceDN/>
              <w:bidi w:val="0"/>
              <w:adjustRightInd/>
              <w:spacing w:line="400" w:lineRule="exact"/>
              <w:ind w:leftChars="0"/>
              <w:jc w:val="both"/>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sz w:val="24"/>
                <w:szCs w:val="24"/>
              </w:rPr>
              <w:t>序号</w:t>
            </w:r>
          </w:p>
        </w:tc>
        <w:tc>
          <w:tcPr>
            <w:tcW w:w="1250" w:type="dxa"/>
            <w:vAlign w:val="center"/>
          </w:tcPr>
          <w:p w14:paraId="60B1C310">
            <w:pPr>
              <w:pageBreakBefore w:val="0"/>
              <w:kinsoku/>
              <w:wordWrap/>
              <w:overflowPunct/>
              <w:topLinePunct w:val="0"/>
              <w:autoSpaceDE/>
              <w:autoSpaceDN/>
              <w:bidi w:val="0"/>
              <w:spacing w:line="400" w:lineRule="exact"/>
              <w:ind w:leftChars="0" w:firstLine="28"/>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评分因素</w:t>
            </w:r>
          </w:p>
          <w:p w14:paraId="457373FD">
            <w:pPr>
              <w:keepNext w:val="0"/>
              <w:keepLines w:val="0"/>
              <w:pageBreakBefore w:val="0"/>
              <w:widowControl w:val="0"/>
              <w:kinsoku/>
              <w:wordWrap/>
              <w:overflowPunct/>
              <w:topLinePunct w:val="0"/>
              <w:autoSpaceDE/>
              <w:autoSpaceDN/>
              <w:bidi w:val="0"/>
              <w:adjustRightInd/>
              <w:spacing w:line="400" w:lineRule="exact"/>
              <w:ind w:leftChars="0"/>
              <w:jc w:val="center"/>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sz w:val="24"/>
                <w:szCs w:val="24"/>
              </w:rPr>
              <w:t>及权重</w:t>
            </w:r>
          </w:p>
        </w:tc>
        <w:tc>
          <w:tcPr>
            <w:tcW w:w="1277" w:type="dxa"/>
            <w:vAlign w:val="center"/>
          </w:tcPr>
          <w:p w14:paraId="55268B77">
            <w:pPr>
              <w:keepNext w:val="0"/>
              <w:keepLines w:val="0"/>
              <w:pageBreakBefore w:val="0"/>
              <w:widowControl w:val="0"/>
              <w:kinsoku/>
              <w:wordWrap/>
              <w:overflowPunct/>
              <w:topLinePunct w:val="0"/>
              <w:autoSpaceDE/>
              <w:autoSpaceDN/>
              <w:bidi w:val="0"/>
              <w:adjustRightInd/>
              <w:spacing w:line="400" w:lineRule="exact"/>
              <w:ind w:leftChars="0"/>
              <w:jc w:val="center"/>
              <w:textAlignment w:val="auto"/>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sz w:val="24"/>
                <w:szCs w:val="24"/>
              </w:rPr>
              <w:t>分值</w:t>
            </w:r>
          </w:p>
        </w:tc>
        <w:tc>
          <w:tcPr>
            <w:tcW w:w="4145" w:type="dxa"/>
          </w:tcPr>
          <w:p w14:paraId="7C763106">
            <w:pPr>
              <w:pageBreakBefore w:val="0"/>
              <w:kinsoku/>
              <w:wordWrap/>
              <w:overflowPunct/>
              <w:topLinePunct w:val="0"/>
              <w:autoSpaceDE/>
              <w:autoSpaceDN/>
              <w:bidi w:val="0"/>
              <w:spacing w:line="400" w:lineRule="exact"/>
              <w:ind w:leftChars="0" w:firstLine="1446" w:firstLineChars="600"/>
              <w:jc w:val="both"/>
              <w:textAlignment w:val="auto"/>
              <w:rPr>
                <w:rFonts w:hint="eastAsia" w:ascii="仿宋" w:hAnsi="仿宋" w:eastAsia="仿宋" w:cs="仿宋"/>
                <w:sz w:val="24"/>
                <w:szCs w:val="24"/>
                <w:lang w:val="en-US" w:eastAsia="zh-CN"/>
              </w:rPr>
            </w:pPr>
            <w:r>
              <w:rPr>
                <w:rFonts w:hint="eastAsia" w:ascii="仿宋" w:hAnsi="仿宋" w:eastAsia="仿宋" w:cs="仿宋"/>
                <w:b/>
                <w:bCs w:val="0"/>
                <w:sz w:val="24"/>
                <w:szCs w:val="24"/>
                <w:lang w:val="en-US" w:eastAsia="zh-CN"/>
              </w:rPr>
              <w:t>评分标准</w:t>
            </w:r>
          </w:p>
        </w:tc>
        <w:tc>
          <w:tcPr>
            <w:tcW w:w="2475" w:type="dxa"/>
            <w:vAlign w:val="center"/>
          </w:tcPr>
          <w:p w14:paraId="0E981524">
            <w:pPr>
              <w:keepNext w:val="0"/>
              <w:keepLines w:val="0"/>
              <w:pageBreakBefore w:val="0"/>
              <w:widowControl w:val="0"/>
              <w:kinsoku/>
              <w:wordWrap/>
              <w:overflowPunct/>
              <w:topLinePunct w:val="0"/>
              <w:autoSpaceDE/>
              <w:autoSpaceDN/>
              <w:bidi w:val="0"/>
              <w:adjustRightInd/>
              <w:spacing w:line="400" w:lineRule="exact"/>
              <w:ind w:leftChars="0" w:firstLine="482" w:firstLineChars="200"/>
              <w:jc w:val="center"/>
              <w:textAlignment w:val="auto"/>
              <w:rPr>
                <w:rFonts w:hint="eastAsia" w:ascii="仿宋" w:hAnsi="仿宋" w:eastAsia="仿宋" w:cs="仿宋"/>
                <w:b/>
                <w:bCs w:val="0"/>
                <w:sz w:val="24"/>
                <w:szCs w:val="24"/>
                <w:lang w:val="en-US" w:eastAsia="zh-CN"/>
              </w:rPr>
            </w:pPr>
            <w:r>
              <w:rPr>
                <w:rFonts w:hint="eastAsia" w:ascii="仿宋" w:hAnsi="仿宋" w:eastAsia="仿宋" w:cs="仿宋"/>
                <w:b/>
                <w:bCs w:val="0"/>
                <w:sz w:val="24"/>
                <w:szCs w:val="24"/>
              </w:rPr>
              <w:t>说明</w:t>
            </w:r>
          </w:p>
        </w:tc>
      </w:tr>
      <w:tr w14:paraId="1A4A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Align w:val="center"/>
          </w:tcPr>
          <w:p w14:paraId="06A1C4EA">
            <w:pPr>
              <w:keepNext w:val="0"/>
              <w:keepLines w:val="0"/>
              <w:pageBreakBefore w:val="0"/>
              <w:widowControl w:val="0"/>
              <w:kinsoku/>
              <w:wordWrap/>
              <w:overflowPunct/>
              <w:topLinePunct w:val="0"/>
              <w:autoSpaceDE/>
              <w:autoSpaceDN/>
              <w:bidi w:val="0"/>
              <w:adjustRightIn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p>
        </w:tc>
        <w:tc>
          <w:tcPr>
            <w:tcW w:w="1250" w:type="dxa"/>
            <w:vAlign w:val="center"/>
          </w:tcPr>
          <w:p w14:paraId="0ECA6DD4">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投标报价</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20</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eastAsia="zh-CN"/>
              </w:rPr>
              <w:t>）</w:t>
            </w:r>
          </w:p>
        </w:tc>
        <w:tc>
          <w:tcPr>
            <w:tcW w:w="1277" w:type="dxa"/>
            <w:vAlign w:val="center"/>
          </w:tcPr>
          <w:p w14:paraId="4DC68F4F">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报价（20</w:t>
            </w:r>
            <w:r>
              <w:rPr>
                <w:rFonts w:hint="eastAsia" w:ascii="仿宋" w:hAnsi="仿宋" w:eastAsia="仿宋" w:cs="仿宋"/>
                <w:b w:val="0"/>
                <w:bCs w:val="0"/>
                <w:color w:val="auto"/>
                <w:sz w:val="24"/>
                <w:szCs w:val="24"/>
                <w:highlight w:val="none"/>
              </w:rPr>
              <w:t>分</w:t>
            </w:r>
            <w:r>
              <w:rPr>
                <w:rFonts w:hint="eastAsia" w:ascii="仿宋" w:hAnsi="仿宋" w:eastAsia="仿宋" w:cs="仿宋"/>
                <w:b w:val="0"/>
                <w:bCs w:val="0"/>
                <w:color w:val="auto"/>
                <w:sz w:val="24"/>
                <w:szCs w:val="24"/>
                <w:highlight w:val="none"/>
                <w:lang w:eastAsia="zh-CN"/>
              </w:rPr>
              <w:t>）</w:t>
            </w:r>
          </w:p>
        </w:tc>
        <w:tc>
          <w:tcPr>
            <w:tcW w:w="4145" w:type="dxa"/>
          </w:tcPr>
          <w:p w14:paraId="3405E418">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sz w:val="24"/>
                <w:szCs w:val="24"/>
              </w:rPr>
              <w:t>满足比选文件要求且投标价格最低的投标报价为评标基准价，其价格分为满分。其他</w:t>
            </w:r>
            <w:r>
              <w:rPr>
                <w:rFonts w:hint="eastAsia" w:ascii="仿宋" w:hAnsi="仿宋" w:eastAsia="仿宋" w:cs="仿宋"/>
                <w:b w:val="0"/>
                <w:bCs w:val="0"/>
                <w:sz w:val="24"/>
                <w:szCs w:val="24"/>
                <w:lang w:val="en-US" w:eastAsia="zh-CN"/>
              </w:rPr>
              <w:t>供应商</w:t>
            </w:r>
            <w:r>
              <w:rPr>
                <w:rFonts w:hint="eastAsia" w:ascii="仿宋" w:hAnsi="仿宋" w:eastAsia="仿宋" w:cs="仿宋"/>
                <w:b w:val="0"/>
                <w:bCs w:val="0"/>
                <w:sz w:val="24"/>
                <w:szCs w:val="24"/>
              </w:rPr>
              <w:t>的价格分统一按照下列公式计算：投标报价得分＝（评标基准价/投标报价）×价格权重×100。</w:t>
            </w:r>
          </w:p>
        </w:tc>
        <w:tc>
          <w:tcPr>
            <w:tcW w:w="2475" w:type="dxa"/>
            <w:vAlign w:val="center"/>
          </w:tcPr>
          <w:p w14:paraId="4ADC062B">
            <w:pPr>
              <w:pStyle w:val="11"/>
              <w:pageBreakBefore w:val="0"/>
              <w:kinsoku/>
              <w:wordWrap/>
              <w:overflowPunct/>
              <w:topLinePunct w:val="0"/>
              <w:autoSpaceDE/>
              <w:autoSpaceDN/>
              <w:bidi w:val="0"/>
              <w:spacing w:line="400" w:lineRule="exact"/>
              <w:ind w:left="0"/>
              <w:jc w:val="both"/>
              <w:textAlignment w:val="auto"/>
              <w:outlineLvl w:val="0"/>
              <w:rPr>
                <w:rFonts w:hint="eastAsia" w:ascii="仿宋" w:hAnsi="仿宋" w:eastAsia="仿宋" w:cs="仿宋"/>
                <w:b w:val="0"/>
                <w:bCs w:val="0"/>
                <w:color w:val="auto"/>
                <w:sz w:val="24"/>
                <w:szCs w:val="24"/>
                <w:highlight w:val="none"/>
              </w:rPr>
            </w:pPr>
            <w:r>
              <w:rPr>
                <w:rFonts w:hint="eastAsia" w:ascii="仿宋" w:hAnsi="仿宋" w:eastAsia="仿宋" w:cs="仿宋"/>
                <w:b w:val="0"/>
                <w:bCs w:val="0"/>
                <w:sz w:val="24"/>
                <w:szCs w:val="24"/>
                <w:lang w:val="en-US" w:eastAsia="zh-CN"/>
              </w:rPr>
              <w:t>高于</w:t>
            </w:r>
            <w:r>
              <w:rPr>
                <w:rFonts w:hint="eastAsia" w:ascii="仿宋" w:hAnsi="仿宋" w:eastAsia="仿宋" w:cs="仿宋"/>
                <w:b w:val="0"/>
                <w:bCs w:val="0"/>
                <w:sz w:val="24"/>
                <w:szCs w:val="24"/>
                <w:highlight w:val="none"/>
              </w:rPr>
              <w:t>最高限价</w:t>
            </w:r>
            <w:r>
              <w:rPr>
                <w:rFonts w:hint="eastAsia" w:ascii="仿宋" w:hAnsi="仿宋" w:eastAsia="仿宋" w:cs="仿宋"/>
                <w:b w:val="0"/>
                <w:bCs w:val="0"/>
                <w:sz w:val="24"/>
                <w:szCs w:val="24"/>
                <w:highlight w:val="none"/>
                <w:lang w:eastAsia="zh-CN"/>
              </w:rPr>
              <w:t>的</w:t>
            </w:r>
            <w:r>
              <w:rPr>
                <w:rFonts w:hint="eastAsia" w:ascii="仿宋" w:hAnsi="仿宋" w:eastAsia="仿宋" w:cs="仿宋"/>
                <w:b w:val="0"/>
                <w:bCs w:val="0"/>
                <w:sz w:val="24"/>
                <w:szCs w:val="24"/>
                <w:highlight w:val="none"/>
                <w:lang w:val="en-US" w:eastAsia="zh-CN"/>
              </w:rPr>
              <w:t>报价</w:t>
            </w:r>
            <w:r>
              <w:rPr>
                <w:rFonts w:hint="eastAsia" w:ascii="仿宋" w:hAnsi="仿宋" w:eastAsia="仿宋" w:cs="仿宋"/>
                <w:b w:val="0"/>
                <w:bCs w:val="0"/>
                <w:sz w:val="24"/>
                <w:szCs w:val="24"/>
                <w:lang w:val="en-US" w:eastAsia="zh-CN"/>
              </w:rPr>
              <w:t>为无效报价</w:t>
            </w:r>
          </w:p>
        </w:tc>
      </w:tr>
      <w:tr w14:paraId="3B68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Merge w:val="restart"/>
            <w:vAlign w:val="center"/>
          </w:tcPr>
          <w:p w14:paraId="5C311A8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p>
        </w:tc>
        <w:tc>
          <w:tcPr>
            <w:tcW w:w="1250" w:type="dxa"/>
            <w:vMerge w:val="restart"/>
            <w:vAlign w:val="center"/>
          </w:tcPr>
          <w:p w14:paraId="3E8A223F">
            <w:pPr>
              <w:keepNext w:val="0"/>
              <w:keepLines w:val="0"/>
              <w:pageBreakBefore w:val="0"/>
              <w:widowControl w:val="0"/>
              <w:kinsoku/>
              <w:wordWrap/>
              <w:overflowPunct/>
              <w:topLinePunct w:val="0"/>
              <w:autoSpaceDE/>
              <w:autoSpaceDN/>
              <w:bidi w:val="0"/>
              <w:adjustRightInd/>
              <w:spacing w:line="400" w:lineRule="exact"/>
              <w:ind w:leftChars="0"/>
              <w:jc w:val="left"/>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服务部分</w:t>
            </w:r>
          </w:p>
          <w:p w14:paraId="455C9A4B">
            <w:pPr>
              <w:pageBreakBefore w:val="0"/>
              <w:kinsoku/>
              <w:wordWrap/>
              <w:overflowPunct/>
              <w:topLinePunct w:val="0"/>
              <w:autoSpaceDE/>
              <w:autoSpaceDN/>
              <w:bidi w:val="0"/>
              <w:spacing w:line="400" w:lineRule="exact"/>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（60%）</w:t>
            </w:r>
          </w:p>
          <w:p w14:paraId="36C4BE84">
            <w:pPr>
              <w:pageBreakBefore w:val="0"/>
              <w:kinsoku/>
              <w:wordWrap/>
              <w:overflowPunct/>
              <w:topLinePunct w:val="0"/>
              <w:autoSpaceDE/>
              <w:autoSpaceDN/>
              <w:bidi w:val="0"/>
              <w:spacing w:line="400" w:lineRule="exact"/>
              <w:textAlignment w:val="auto"/>
              <w:outlineLvl w:val="9"/>
              <w:rPr>
                <w:rFonts w:hint="eastAsia" w:ascii="仿宋" w:hAnsi="仿宋" w:eastAsia="仿宋" w:cs="仿宋"/>
                <w:b w:val="0"/>
                <w:bCs w:val="0"/>
                <w:sz w:val="24"/>
                <w:szCs w:val="24"/>
                <w:lang w:val="en-US" w:eastAsia="zh-CN"/>
              </w:rPr>
            </w:pPr>
          </w:p>
        </w:tc>
        <w:tc>
          <w:tcPr>
            <w:tcW w:w="1277" w:type="dxa"/>
            <w:vAlign w:val="center"/>
          </w:tcPr>
          <w:p w14:paraId="0BC261E3">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承保服务方案（20分）</w:t>
            </w:r>
          </w:p>
        </w:tc>
        <w:tc>
          <w:tcPr>
            <w:tcW w:w="4145" w:type="dxa"/>
            <w:shd w:val="clear" w:color="auto" w:fill="auto"/>
            <w:vAlign w:val="center"/>
          </w:tcPr>
          <w:p w14:paraId="247DC00D">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供应商应结合本项目实际，提供承保服务方案。方案包含：承保流程、保单出具时效、客户服务机制、人员配置、服务响应时效。根据方案内容进行评分。</w:t>
            </w:r>
          </w:p>
          <w:p w14:paraId="0A113D4A">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方案内容不存在瑕疵得20分；</w:t>
            </w:r>
          </w:p>
          <w:p w14:paraId="5CA51109">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方案内容存在1处瑕疵得15分；</w:t>
            </w:r>
          </w:p>
          <w:p w14:paraId="4C3AFB5C">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方案内容存在2处瑕疵得10分；</w:t>
            </w:r>
          </w:p>
          <w:p w14:paraId="79E46BBD">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方案内容存在3处瑕疵得5分；</w:t>
            </w:r>
          </w:p>
          <w:p w14:paraId="17944293">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方案内容存在4处及以上瑕疵或未提供方案得0分。</w:t>
            </w:r>
          </w:p>
        </w:tc>
        <w:tc>
          <w:tcPr>
            <w:tcW w:w="2475" w:type="dxa"/>
            <w:vMerge w:val="restart"/>
            <w:shd w:val="clear" w:color="auto" w:fill="auto"/>
            <w:vAlign w:val="center"/>
          </w:tcPr>
          <w:p w14:paraId="3E5B77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提供相关方案，格式自定。</w:t>
            </w:r>
          </w:p>
          <w:p w14:paraId="144D45B1">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本项内容中所称的“瑕疵”是指：</w:t>
            </w:r>
          </w:p>
          <w:p w14:paraId="4520E2E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方案内容缺项、内容表述不完整；</w:t>
            </w:r>
          </w:p>
          <w:p w14:paraId="4EFFFCC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方案内容表述前后矛盾、无连贯性；</w:t>
            </w:r>
          </w:p>
          <w:p w14:paraId="3B672DDE">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方案内容存在逻辑漏洞、常识错误并不适用本项目特性或非专门针对本项目特征制定；</w:t>
            </w:r>
          </w:p>
          <w:p w14:paraId="0A679ED9">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color w:val="auto"/>
                <w:sz w:val="24"/>
                <w:szCs w:val="24"/>
                <w:highlight w:val="none"/>
              </w:rPr>
              <w:t>方案中并未体现具体实施方案或方案中提出的内容不利于本项目目标实现等任意一种情形。</w:t>
            </w:r>
          </w:p>
        </w:tc>
      </w:tr>
      <w:tr w14:paraId="6B88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Merge w:val="continue"/>
            <w:vAlign w:val="center"/>
          </w:tcPr>
          <w:p w14:paraId="36A1035E">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b w:val="0"/>
                <w:bCs w:val="0"/>
                <w:color w:val="auto"/>
                <w:sz w:val="24"/>
                <w:szCs w:val="24"/>
                <w:highlight w:val="none"/>
                <w:lang w:val="en-US" w:eastAsia="zh-CN"/>
              </w:rPr>
            </w:pPr>
          </w:p>
        </w:tc>
        <w:tc>
          <w:tcPr>
            <w:tcW w:w="1250" w:type="dxa"/>
            <w:vMerge w:val="continue"/>
            <w:vAlign w:val="center"/>
          </w:tcPr>
          <w:p w14:paraId="51879401">
            <w:pPr>
              <w:pageBreakBefore w:val="0"/>
              <w:kinsoku/>
              <w:wordWrap/>
              <w:overflowPunct/>
              <w:topLinePunct w:val="0"/>
              <w:autoSpaceDE/>
              <w:autoSpaceDN/>
              <w:bidi w:val="0"/>
              <w:spacing w:line="400" w:lineRule="exact"/>
              <w:textAlignment w:val="auto"/>
              <w:rPr>
                <w:rFonts w:hint="eastAsia" w:ascii="仿宋" w:hAnsi="仿宋" w:eastAsia="仿宋" w:cs="仿宋"/>
                <w:b w:val="0"/>
                <w:bCs w:val="0"/>
                <w:sz w:val="24"/>
                <w:szCs w:val="24"/>
                <w:lang w:val="en-US" w:eastAsia="zh-CN"/>
              </w:rPr>
            </w:pPr>
          </w:p>
        </w:tc>
        <w:tc>
          <w:tcPr>
            <w:tcW w:w="1277" w:type="dxa"/>
            <w:vAlign w:val="center"/>
          </w:tcPr>
          <w:p w14:paraId="66D5E382">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理赔服务方案（</w:t>
            </w:r>
            <w:r>
              <w:rPr>
                <w:rFonts w:hint="eastAsia" w:ascii="仿宋" w:hAnsi="仿宋" w:eastAsia="仿宋" w:cs="仿宋"/>
                <w:b w:val="0"/>
                <w:bCs w:val="0"/>
                <w:sz w:val="24"/>
                <w:szCs w:val="24"/>
                <w:lang w:val="en-US" w:eastAsia="zh-CN"/>
              </w:rPr>
              <w:t>20</w:t>
            </w:r>
            <w:r>
              <w:rPr>
                <w:rFonts w:hint="eastAsia" w:ascii="仿宋" w:hAnsi="仿宋" w:eastAsia="仿宋" w:cs="仿宋"/>
                <w:b w:val="0"/>
                <w:bCs w:val="0"/>
                <w:sz w:val="24"/>
                <w:szCs w:val="24"/>
              </w:rPr>
              <w:t>分）</w:t>
            </w:r>
          </w:p>
        </w:tc>
        <w:tc>
          <w:tcPr>
            <w:tcW w:w="4145" w:type="dxa"/>
            <w:shd w:val="clear" w:color="auto" w:fill="auto"/>
            <w:vAlign w:val="center"/>
          </w:tcPr>
          <w:p w14:paraId="1C7CF086">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供应商应结合本项目实际，提供理赔服务方案。方案包含：理赔流程、报案响应时限、现场查勘时效、结案时限承诺、小额快赔机制、理赔纠纷处理。根据方案内容进行评分。</w:t>
            </w:r>
          </w:p>
          <w:p w14:paraId="0FDF1928">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方案内容不存在瑕疵得20分；</w:t>
            </w:r>
          </w:p>
          <w:p w14:paraId="0AAFB112">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方案内容存在1处瑕疵得15分；</w:t>
            </w:r>
          </w:p>
          <w:p w14:paraId="78483109">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方案内容存在2处瑕疵得10分；</w:t>
            </w:r>
          </w:p>
          <w:p w14:paraId="0419630A">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方案内容存在3处瑕疵得5分</w:t>
            </w:r>
          </w:p>
          <w:p w14:paraId="21F70CE9">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方案内容存在4处及以上瑕疵或未提供方案得0分。</w:t>
            </w:r>
          </w:p>
        </w:tc>
        <w:tc>
          <w:tcPr>
            <w:tcW w:w="2475" w:type="dxa"/>
            <w:vMerge w:val="continue"/>
            <w:shd w:val="clear" w:color="auto" w:fill="auto"/>
            <w:vAlign w:val="center"/>
          </w:tcPr>
          <w:p w14:paraId="34EF00C0">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left"/>
              <w:textAlignment w:val="auto"/>
              <w:rPr>
                <w:rFonts w:hint="eastAsia" w:ascii="仿宋" w:hAnsi="仿宋" w:eastAsia="仿宋" w:cs="仿宋"/>
                <w:b w:val="0"/>
                <w:bCs w:val="0"/>
                <w:sz w:val="24"/>
                <w:szCs w:val="24"/>
                <w:lang w:val="en-US" w:eastAsia="zh-CN"/>
              </w:rPr>
            </w:pPr>
          </w:p>
        </w:tc>
      </w:tr>
      <w:tr w14:paraId="4BDD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4" w:type="dxa"/>
            <w:vMerge w:val="continue"/>
            <w:vAlign w:val="center"/>
          </w:tcPr>
          <w:p w14:paraId="62402FE4">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b w:val="0"/>
                <w:bCs w:val="0"/>
                <w:color w:val="auto"/>
                <w:sz w:val="24"/>
                <w:szCs w:val="24"/>
                <w:highlight w:val="none"/>
                <w:lang w:val="en-US" w:eastAsia="zh-CN"/>
              </w:rPr>
            </w:pPr>
          </w:p>
        </w:tc>
        <w:tc>
          <w:tcPr>
            <w:tcW w:w="1250" w:type="dxa"/>
            <w:vMerge w:val="continue"/>
            <w:vAlign w:val="center"/>
          </w:tcPr>
          <w:p w14:paraId="405A2A0D">
            <w:pPr>
              <w:pageBreakBefore w:val="0"/>
              <w:kinsoku/>
              <w:wordWrap/>
              <w:overflowPunct/>
              <w:topLinePunct w:val="0"/>
              <w:autoSpaceDE/>
              <w:autoSpaceDN/>
              <w:bidi w:val="0"/>
              <w:spacing w:line="400" w:lineRule="exact"/>
              <w:textAlignment w:val="auto"/>
              <w:rPr>
                <w:rFonts w:hint="eastAsia" w:ascii="仿宋" w:hAnsi="仿宋" w:eastAsia="仿宋" w:cs="仿宋"/>
                <w:b w:val="0"/>
                <w:bCs w:val="0"/>
                <w:sz w:val="24"/>
                <w:szCs w:val="24"/>
                <w:lang w:val="en-US" w:eastAsia="zh-CN"/>
              </w:rPr>
            </w:pPr>
          </w:p>
        </w:tc>
        <w:tc>
          <w:tcPr>
            <w:tcW w:w="1277" w:type="dxa"/>
            <w:vAlign w:val="center"/>
          </w:tcPr>
          <w:p w14:paraId="5BFFBBBA">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应急预案及风险防控方案（</w:t>
            </w:r>
            <w:r>
              <w:rPr>
                <w:rFonts w:hint="eastAsia" w:ascii="仿宋" w:hAnsi="仿宋" w:eastAsia="仿宋" w:cs="仿宋"/>
                <w:b w:val="0"/>
                <w:bCs w:val="0"/>
                <w:sz w:val="24"/>
                <w:szCs w:val="24"/>
                <w:lang w:val="en-US" w:eastAsia="zh-CN"/>
              </w:rPr>
              <w:t>20</w:t>
            </w:r>
            <w:r>
              <w:rPr>
                <w:rFonts w:hint="eastAsia" w:ascii="仿宋" w:hAnsi="仿宋" w:eastAsia="仿宋" w:cs="仿宋"/>
                <w:b w:val="0"/>
                <w:bCs w:val="0"/>
                <w:sz w:val="24"/>
                <w:szCs w:val="24"/>
              </w:rPr>
              <w:t>分）</w:t>
            </w:r>
          </w:p>
        </w:tc>
        <w:tc>
          <w:tcPr>
            <w:tcW w:w="4145" w:type="dxa"/>
            <w:shd w:val="clear" w:color="auto" w:fill="auto"/>
            <w:vAlign w:val="center"/>
          </w:tcPr>
          <w:p w14:paraId="7C1E2E33">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rPr>
              <w:t>供应商应结合本项目实际，提供应急预案及风险防控方案。方案：重大事故应急响应机制、群体性事件处理预案、防灾防损服务措施、风险排查与预警。</w:t>
            </w:r>
            <w:r>
              <w:rPr>
                <w:rFonts w:hint="eastAsia" w:ascii="仿宋" w:hAnsi="仿宋" w:eastAsia="仿宋" w:cs="仿宋"/>
                <w:b w:val="0"/>
                <w:bCs w:val="0"/>
                <w:sz w:val="24"/>
                <w:szCs w:val="24"/>
                <w:lang w:val="en-US" w:eastAsia="zh-CN"/>
              </w:rPr>
              <w:t>根据方案内容进行评分。</w:t>
            </w:r>
          </w:p>
          <w:p w14:paraId="67346F61">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方案内容不存在瑕疵得20分；</w:t>
            </w:r>
          </w:p>
          <w:p w14:paraId="046E7A22">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方案内容存在1处瑕疵得15分；</w:t>
            </w:r>
          </w:p>
          <w:p w14:paraId="3CADDDDB">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方案内容存在2处瑕疵得10分；</w:t>
            </w:r>
          </w:p>
          <w:p w14:paraId="1B91CA9F">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方案内容存在3处瑕疵得5分；</w:t>
            </w:r>
          </w:p>
          <w:p w14:paraId="1C4C90B1">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both"/>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方案内容存在4处及以上瑕疵或未提供方案得0分。</w:t>
            </w:r>
          </w:p>
        </w:tc>
        <w:tc>
          <w:tcPr>
            <w:tcW w:w="2475" w:type="dxa"/>
            <w:vMerge w:val="continue"/>
            <w:shd w:val="clear" w:color="auto" w:fill="auto"/>
            <w:vAlign w:val="center"/>
          </w:tcPr>
          <w:p w14:paraId="3C352A0E">
            <w:pPr>
              <w:keepNext w:val="0"/>
              <w:keepLines w:val="0"/>
              <w:pageBreakBefore w:val="0"/>
              <w:widowControl w:val="0"/>
              <w:kinsoku/>
              <w:wordWrap/>
              <w:overflowPunct/>
              <w:topLinePunct w:val="0"/>
              <w:autoSpaceDE/>
              <w:autoSpaceDN/>
              <w:bidi w:val="0"/>
              <w:adjustRightInd/>
              <w:spacing w:line="400" w:lineRule="exact"/>
              <w:ind w:leftChars="0" w:firstLine="480" w:firstLineChars="200"/>
              <w:jc w:val="left"/>
              <w:textAlignment w:val="auto"/>
              <w:rPr>
                <w:rFonts w:hint="eastAsia" w:ascii="仿宋" w:hAnsi="仿宋" w:eastAsia="仿宋" w:cs="仿宋"/>
                <w:b w:val="0"/>
                <w:bCs w:val="0"/>
                <w:sz w:val="24"/>
                <w:szCs w:val="24"/>
                <w:lang w:val="en-US" w:eastAsia="zh-CN"/>
              </w:rPr>
            </w:pPr>
          </w:p>
        </w:tc>
      </w:tr>
      <w:tr w14:paraId="714A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574" w:type="dxa"/>
            <w:vMerge w:val="restart"/>
            <w:vAlign w:val="center"/>
          </w:tcPr>
          <w:p w14:paraId="137F587F">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p>
        </w:tc>
        <w:tc>
          <w:tcPr>
            <w:tcW w:w="1250" w:type="dxa"/>
            <w:vMerge w:val="restart"/>
            <w:vAlign w:val="center"/>
          </w:tcPr>
          <w:p w14:paraId="08ADC22A">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商务部分</w:t>
            </w:r>
          </w:p>
          <w:p w14:paraId="3465972D">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（20%）</w:t>
            </w:r>
          </w:p>
        </w:tc>
        <w:tc>
          <w:tcPr>
            <w:tcW w:w="1277" w:type="dxa"/>
            <w:shd w:val="clear" w:color="auto" w:fill="auto"/>
            <w:vAlign w:val="center"/>
          </w:tcPr>
          <w:p w14:paraId="35D4D4B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color w:val="auto"/>
                <w:sz w:val="24"/>
                <w:szCs w:val="24"/>
                <w:highlight w:val="none"/>
                <w:lang w:eastAsia="zh-CN"/>
              </w:rPr>
              <w:t>理赔经验（</w:t>
            </w:r>
            <w:r>
              <w:rPr>
                <w:rFonts w:hint="eastAsia" w:ascii="仿宋" w:hAnsi="仿宋" w:eastAsia="仿宋" w:cs="仿宋"/>
                <w:color w:val="auto"/>
                <w:sz w:val="24"/>
                <w:szCs w:val="24"/>
                <w:highlight w:val="none"/>
                <w:lang w:val="en-US" w:eastAsia="zh-CN"/>
              </w:rPr>
              <w:t>5分</w:t>
            </w:r>
            <w:r>
              <w:rPr>
                <w:rFonts w:hint="eastAsia" w:ascii="仿宋" w:hAnsi="仿宋" w:eastAsia="仿宋" w:cs="仿宋"/>
                <w:color w:val="auto"/>
                <w:sz w:val="24"/>
                <w:szCs w:val="24"/>
                <w:highlight w:val="none"/>
                <w:lang w:eastAsia="zh-CN"/>
              </w:rPr>
              <w:t>）</w:t>
            </w:r>
          </w:p>
        </w:tc>
        <w:tc>
          <w:tcPr>
            <w:tcW w:w="4145" w:type="dxa"/>
            <w:shd w:val="clear" w:color="auto" w:fill="auto"/>
            <w:vAlign w:val="center"/>
          </w:tcPr>
          <w:p w14:paraId="491A2CBE">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color w:val="auto"/>
                <w:sz w:val="24"/>
                <w:szCs w:val="24"/>
                <w:highlight w:val="none"/>
                <w:lang w:eastAsia="zh-CN"/>
              </w:rPr>
              <w:t>供应商每提供一例理赔案例得</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lang w:eastAsia="zh-CN"/>
              </w:rPr>
              <w:t>分，最高</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分。</w:t>
            </w:r>
          </w:p>
        </w:tc>
        <w:tc>
          <w:tcPr>
            <w:tcW w:w="2475" w:type="dxa"/>
            <w:shd w:val="clear" w:color="auto" w:fill="auto"/>
            <w:vAlign w:val="center"/>
          </w:tcPr>
          <w:p w14:paraId="21DD2EC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000000"/>
                <w:kern w:val="0"/>
                <w:sz w:val="24"/>
                <w:szCs w:val="24"/>
                <w:lang w:val="en-US" w:eastAsia="zh-CN" w:bidi="ar-SA"/>
              </w:rPr>
            </w:pPr>
            <w:r>
              <w:rPr>
                <w:rFonts w:hint="eastAsia" w:ascii="仿宋" w:hAnsi="仿宋" w:eastAsia="仿宋" w:cs="仿宋"/>
                <w:color w:val="auto"/>
                <w:sz w:val="24"/>
                <w:szCs w:val="24"/>
                <w:highlight w:val="none"/>
                <w:lang w:eastAsia="zh-CN"/>
              </w:rPr>
              <w:t>提供理赔计算书及付款凭证复印件。（加盖供应商公章）</w:t>
            </w:r>
          </w:p>
        </w:tc>
      </w:tr>
      <w:tr w14:paraId="1448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574" w:type="dxa"/>
            <w:vMerge w:val="continue"/>
            <w:vAlign w:val="center"/>
          </w:tcPr>
          <w:p w14:paraId="1CA942E3">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b w:val="0"/>
                <w:bCs w:val="0"/>
                <w:color w:val="auto"/>
                <w:sz w:val="24"/>
                <w:szCs w:val="24"/>
                <w:highlight w:val="none"/>
                <w:lang w:val="en-US" w:eastAsia="zh-CN"/>
              </w:rPr>
            </w:pPr>
            <w:bookmarkStart w:id="108" w:name="_Toc7436"/>
            <w:bookmarkStart w:id="109" w:name="_Toc24670"/>
            <w:bookmarkStart w:id="110" w:name="_Toc38532864"/>
            <w:bookmarkStart w:id="111" w:name="_Toc4563"/>
            <w:bookmarkStart w:id="112" w:name="_Toc102227320"/>
            <w:bookmarkStart w:id="113" w:name="_Toc342913394"/>
          </w:p>
        </w:tc>
        <w:tc>
          <w:tcPr>
            <w:tcW w:w="1250" w:type="dxa"/>
            <w:vMerge w:val="continue"/>
            <w:vAlign w:val="center"/>
          </w:tcPr>
          <w:p w14:paraId="0C6FEFC7">
            <w:pPr>
              <w:keepNext w:val="0"/>
              <w:keepLines w:val="0"/>
              <w:pageBreakBefore w:val="0"/>
              <w:widowControl w:val="0"/>
              <w:kinsoku/>
              <w:wordWrap/>
              <w:overflowPunct/>
              <w:topLinePunct w:val="0"/>
              <w:autoSpaceDE/>
              <w:autoSpaceDN/>
              <w:bidi w:val="0"/>
              <w:adjustRightInd/>
              <w:spacing w:line="400" w:lineRule="exact"/>
              <w:ind w:leftChars="0"/>
              <w:jc w:val="left"/>
              <w:textAlignment w:val="auto"/>
              <w:rPr>
                <w:rFonts w:hint="eastAsia" w:ascii="仿宋" w:hAnsi="仿宋" w:eastAsia="仿宋" w:cs="仿宋"/>
                <w:b w:val="0"/>
                <w:bCs w:val="0"/>
                <w:color w:val="auto"/>
                <w:sz w:val="24"/>
                <w:szCs w:val="24"/>
                <w:highlight w:val="none"/>
                <w:lang w:val="en-US" w:eastAsia="zh-CN"/>
              </w:rPr>
            </w:pPr>
          </w:p>
        </w:tc>
        <w:tc>
          <w:tcPr>
            <w:tcW w:w="1277" w:type="dxa"/>
            <w:shd w:val="clear" w:color="auto" w:fill="auto"/>
            <w:vAlign w:val="center"/>
          </w:tcPr>
          <w:p w14:paraId="21145E2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业绩</w:t>
            </w:r>
          </w:p>
          <w:p w14:paraId="489B1FB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kern w:val="0"/>
                <w:sz w:val="24"/>
                <w:szCs w:val="24"/>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15分</w:t>
            </w:r>
            <w:r>
              <w:rPr>
                <w:rFonts w:hint="eastAsia" w:ascii="仿宋" w:hAnsi="仿宋" w:eastAsia="仿宋" w:cs="仿宋"/>
                <w:color w:val="auto"/>
                <w:sz w:val="24"/>
                <w:szCs w:val="24"/>
                <w:highlight w:val="none"/>
                <w:lang w:eastAsia="zh-CN"/>
              </w:rPr>
              <w:t>）</w:t>
            </w:r>
          </w:p>
        </w:tc>
        <w:tc>
          <w:tcPr>
            <w:tcW w:w="4145" w:type="dxa"/>
            <w:shd w:val="clear" w:color="auto" w:fill="auto"/>
            <w:vAlign w:val="center"/>
          </w:tcPr>
          <w:p w14:paraId="2D7CA5A3">
            <w:pPr>
              <w:keepNext w:val="0"/>
              <w:keepLines w:val="0"/>
              <w:pageBreakBefore w:val="0"/>
              <w:kinsoku/>
              <w:wordWrap/>
              <w:overflowPunct/>
              <w:topLinePunct w:val="0"/>
              <w:autoSpaceDE/>
              <w:autoSpaceDN/>
              <w:bidi w:val="0"/>
              <w:adjustRightInd/>
              <w:snapToGrid/>
              <w:spacing w:line="400" w:lineRule="exact"/>
              <w:ind w:left="0" w:leftChars="0" w:firstLine="480" w:firstLineChars="200"/>
              <w:textAlignment w:val="auto"/>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自2023年1月1日起至本项目开标之日止，供应商承保过类似项目（合同内容含：公众责任险或附加险），每提供一个得5分，最多得15分。</w:t>
            </w:r>
          </w:p>
        </w:tc>
        <w:tc>
          <w:tcPr>
            <w:tcW w:w="2475" w:type="dxa"/>
            <w:shd w:val="clear" w:color="auto" w:fill="auto"/>
            <w:vAlign w:val="center"/>
          </w:tcPr>
          <w:p w14:paraId="6713A1B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提供相关合同复印件并加盖供应商公章。</w:t>
            </w:r>
          </w:p>
        </w:tc>
      </w:tr>
      <w:bookmarkEnd w:id="95"/>
      <w:bookmarkEnd w:id="96"/>
      <w:bookmarkEnd w:id="97"/>
      <w:bookmarkEnd w:id="98"/>
      <w:bookmarkEnd w:id="99"/>
      <w:bookmarkEnd w:id="100"/>
    </w:tbl>
    <w:p w14:paraId="5021D7A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根据《关于推动解决政府采购异常低价问题的通知》财库〔2026〕2号文件规定，政府采购评审中出现下列情形之一的，比选小组应当启动异常低价投标审查程序：</w:t>
      </w:r>
    </w:p>
    <w:p w14:paraId="7F85A04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（1）投标报价低于全部通过符合性审查供应商投标报价平均值50%的，即投标报价&lt;全部通过符合性审查供应商投标报价平均值×50%；</w:t>
      </w:r>
    </w:p>
    <w:p w14:paraId="13B4CAE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（2）投标报价低于通过符合性审查的次低报价供应商投标报价50%的，即投标报价&lt;通过符合性审查的次低报价供应商投标报价×50%；</w:t>
      </w:r>
    </w:p>
    <w:p w14:paraId="65C2BCD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（3）投标报价低于采购项目最高限价45%的，即投标报价&lt;采购项目最高限价×45%；</w:t>
      </w:r>
    </w:p>
    <w:p w14:paraId="7BE409E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（4）比选小组基于专业判断，认为供应商报价过低，有可能影响产品质量或者不能诚信履约的其他情形。</w:t>
      </w:r>
    </w:p>
    <w:p w14:paraId="50AF4710">
      <w:pPr>
        <w:pStyle w:val="3"/>
        <w:pageBreakBefore w:val="0"/>
        <w:tabs>
          <w:tab w:val="left" w:pos="7185"/>
        </w:tabs>
        <w:kinsoku/>
        <w:wordWrap/>
        <w:overflowPunct/>
        <w:topLinePunct w:val="0"/>
        <w:autoSpaceDE/>
        <w:autoSpaceDN/>
        <w:bidi w:val="0"/>
        <w:adjustRightInd/>
        <w:spacing w:before="0" w:after="0" w:line="400" w:lineRule="exact"/>
        <w:textAlignment w:val="auto"/>
        <w:rPr>
          <w:rFonts w:hint="eastAsia" w:ascii="仿宋" w:hAnsi="仿宋" w:eastAsia="仿宋" w:cs="仿宋"/>
          <w:color w:val="auto"/>
          <w:sz w:val="24"/>
          <w:szCs w:val="24"/>
          <w:highlight w:val="none"/>
        </w:rPr>
      </w:pPr>
      <w:bookmarkStart w:id="114" w:name="_Toc22735"/>
      <w:bookmarkStart w:id="115" w:name="_Toc24458"/>
      <w:r>
        <w:rPr>
          <w:rFonts w:hint="eastAsia" w:ascii="仿宋" w:hAnsi="仿宋" w:eastAsia="仿宋" w:cs="仿宋"/>
          <w:b/>
          <w:color w:val="auto"/>
          <w:kern w:val="2"/>
          <w:sz w:val="24"/>
          <w:szCs w:val="24"/>
          <w:lang w:val="en-US" w:eastAsia="zh-CN" w:bidi="ar-SA"/>
        </w:rPr>
        <w:t>三、</w:t>
      </w:r>
      <w:bookmarkEnd w:id="108"/>
      <w:bookmarkEnd w:id="109"/>
      <w:bookmarkEnd w:id="110"/>
      <w:bookmarkEnd w:id="111"/>
      <w:r>
        <w:rPr>
          <w:rFonts w:hint="eastAsia" w:ascii="仿宋" w:hAnsi="仿宋" w:eastAsia="仿宋" w:cs="仿宋"/>
          <w:b/>
          <w:color w:val="auto"/>
          <w:kern w:val="2"/>
          <w:sz w:val="24"/>
          <w:szCs w:val="24"/>
          <w:lang w:val="en-US" w:eastAsia="zh-CN" w:bidi="ar-SA"/>
        </w:rPr>
        <w:t>无效投标条款</w:t>
      </w:r>
      <w:bookmarkEnd w:id="114"/>
      <w:bookmarkEnd w:id="115"/>
      <w:r>
        <w:rPr>
          <w:rFonts w:hint="eastAsia" w:ascii="仿宋" w:hAnsi="仿宋" w:eastAsia="仿宋" w:cs="仿宋"/>
          <w:color w:val="auto"/>
          <w:sz w:val="24"/>
          <w:szCs w:val="24"/>
          <w:highlight w:val="none"/>
        </w:rPr>
        <w:tab/>
      </w:r>
    </w:p>
    <w:p w14:paraId="2BF2148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16" w:name="_Toc28395"/>
      <w:bookmarkStart w:id="117" w:name="_Toc29043"/>
      <w:bookmarkStart w:id="118" w:name="_Toc1903"/>
      <w:bookmarkStart w:id="119" w:name="_Toc38532865"/>
      <w:r>
        <w:rPr>
          <w:rFonts w:hint="eastAsia" w:ascii="仿宋" w:hAnsi="仿宋" w:eastAsia="仿宋" w:cs="仿宋"/>
          <w:color w:val="auto"/>
          <w:sz w:val="24"/>
          <w:szCs w:val="24"/>
          <w:highlight w:val="none"/>
          <w:lang w:val="en-US" w:eastAsia="zh-CN"/>
        </w:rPr>
        <w:t>供应商或其响应文件出现下列情况之一者，应为无效投标：</w:t>
      </w:r>
    </w:p>
    <w:p w14:paraId="76AC932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（一）未按照比选文件的规定提交投标保证金的；</w:t>
      </w:r>
    </w:p>
    <w:p w14:paraId="6C159C0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（二）响应文件未按比选文件要求签署、盖章的；</w:t>
      </w:r>
    </w:p>
    <w:p w14:paraId="74FAA2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（三）不具备比选文件中规定的资格要求的；</w:t>
      </w:r>
    </w:p>
    <w:p w14:paraId="360BA7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（四）报价超过比选文件中规定的预算金额或者最高限价的；</w:t>
      </w:r>
    </w:p>
    <w:p w14:paraId="17FC9C6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（五）响应文件含有采购人不能接受的附加条件的；</w:t>
      </w:r>
    </w:p>
    <w:p w14:paraId="66CBC49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（六）供应商串通投标的；</w:t>
      </w:r>
    </w:p>
    <w:p w14:paraId="79E52C2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（七）法律、法规和比选文件规定的其他无效情形。</w:t>
      </w:r>
    </w:p>
    <w:p w14:paraId="64ED1B44">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20" w:name="_Toc23810"/>
      <w:bookmarkStart w:id="121" w:name="_Toc21572"/>
      <w:r>
        <w:rPr>
          <w:rFonts w:hint="eastAsia" w:ascii="仿宋" w:hAnsi="仿宋" w:eastAsia="仿宋" w:cs="仿宋"/>
          <w:b/>
          <w:color w:val="auto"/>
          <w:kern w:val="2"/>
          <w:sz w:val="24"/>
          <w:szCs w:val="24"/>
          <w:lang w:val="en-US" w:eastAsia="zh-CN" w:bidi="ar-SA"/>
        </w:rPr>
        <w:t>四、</w:t>
      </w:r>
      <w:bookmarkEnd w:id="112"/>
      <w:bookmarkEnd w:id="113"/>
      <w:bookmarkEnd w:id="116"/>
      <w:bookmarkEnd w:id="117"/>
      <w:bookmarkEnd w:id="118"/>
      <w:bookmarkEnd w:id="119"/>
      <w:r>
        <w:rPr>
          <w:rFonts w:hint="eastAsia" w:ascii="仿宋" w:hAnsi="仿宋" w:eastAsia="仿宋" w:cs="仿宋"/>
          <w:b/>
          <w:color w:val="auto"/>
          <w:kern w:val="2"/>
          <w:sz w:val="24"/>
          <w:szCs w:val="24"/>
          <w:lang w:val="en-US" w:eastAsia="zh-CN" w:bidi="ar-SA"/>
        </w:rPr>
        <w:t>废标条款</w:t>
      </w:r>
      <w:bookmarkEnd w:id="120"/>
      <w:bookmarkEnd w:id="121"/>
    </w:p>
    <w:p w14:paraId="61B4A50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在招标采购中，出现下列情形之一的，应予废标：</w:t>
      </w:r>
    </w:p>
    <w:p w14:paraId="495F2F2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（一）符合专业条件的供应商或者对比选文件作实质响应的供应商不足三家的；</w:t>
      </w:r>
    </w:p>
    <w:p w14:paraId="705A24D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（二）供应商的报价均超过了采购预算，采购人不能支付的；</w:t>
      </w:r>
    </w:p>
    <w:p w14:paraId="532DE36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（三）出现影响采购公正的违法、违规行为的；</w:t>
      </w:r>
    </w:p>
    <w:p w14:paraId="1E509BC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（四）因重大变故，采购任务取消的。</w:t>
      </w:r>
    </w:p>
    <w:p w14:paraId="13DC940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废标后，除采购任务取消情形外，应当重新组织采购。</w:t>
      </w:r>
    </w:p>
    <w:p w14:paraId="12A66323">
      <w:pPr>
        <w:pageBreakBefore w:val="0"/>
        <w:kinsoku/>
        <w:wordWrap/>
        <w:overflowPunct/>
        <w:topLinePunct w:val="0"/>
        <w:autoSpaceDE/>
        <w:autoSpaceDN/>
        <w:bidi w:val="0"/>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6D878A28">
      <w:pPr>
        <w:pStyle w:val="2"/>
        <w:spacing w:before="0" w:beforeLines="0" w:after="0" w:afterLines="0" w:line="360" w:lineRule="auto"/>
        <w:rPr>
          <w:rFonts w:hint="eastAsia" w:ascii="仿宋" w:hAnsi="仿宋" w:eastAsia="仿宋" w:cs="仿宋"/>
          <w:b/>
          <w:bCs/>
          <w:color w:val="auto"/>
          <w:sz w:val="44"/>
          <w:szCs w:val="44"/>
          <w:highlight w:val="none"/>
        </w:rPr>
      </w:pPr>
      <w:bookmarkStart w:id="122" w:name="_Toc15445"/>
      <w:r>
        <w:rPr>
          <w:rFonts w:hint="eastAsia" w:ascii="仿宋" w:hAnsi="仿宋" w:eastAsia="仿宋" w:cs="仿宋"/>
          <w:b/>
          <w:bCs/>
          <w:color w:val="auto"/>
          <w:sz w:val="44"/>
          <w:szCs w:val="44"/>
          <w:highlight w:val="none"/>
        </w:rPr>
        <w:t xml:space="preserve">第五篇  </w:t>
      </w:r>
      <w:r>
        <w:rPr>
          <w:rFonts w:hint="eastAsia" w:ascii="仿宋" w:hAnsi="仿宋" w:eastAsia="仿宋" w:cs="仿宋"/>
          <w:b/>
          <w:bCs/>
          <w:color w:val="auto"/>
          <w:sz w:val="44"/>
          <w:szCs w:val="44"/>
          <w:highlight w:val="none"/>
          <w:lang w:eastAsia="zh-CN"/>
        </w:rPr>
        <w:t>供应商</w:t>
      </w:r>
      <w:r>
        <w:rPr>
          <w:rFonts w:hint="eastAsia" w:ascii="仿宋" w:hAnsi="仿宋" w:eastAsia="仿宋" w:cs="仿宋"/>
          <w:b/>
          <w:bCs/>
          <w:color w:val="auto"/>
          <w:sz w:val="44"/>
          <w:szCs w:val="44"/>
          <w:highlight w:val="none"/>
        </w:rPr>
        <w:t>须知</w:t>
      </w:r>
      <w:bookmarkEnd w:id="122"/>
    </w:p>
    <w:p w14:paraId="6BB3E3E5">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23" w:name="_Toc20630"/>
      <w:bookmarkStart w:id="124" w:name="_Toc342913389"/>
      <w:bookmarkStart w:id="125" w:name="_Toc439685499"/>
      <w:r>
        <w:rPr>
          <w:rFonts w:hint="eastAsia" w:ascii="仿宋" w:hAnsi="仿宋" w:eastAsia="仿宋" w:cs="仿宋"/>
          <w:b/>
          <w:color w:val="auto"/>
          <w:kern w:val="2"/>
          <w:sz w:val="24"/>
          <w:szCs w:val="24"/>
          <w:lang w:val="en-US" w:eastAsia="zh-CN" w:bidi="ar-SA"/>
        </w:rPr>
        <w:t>一、比选费用</w:t>
      </w:r>
      <w:bookmarkEnd w:id="123"/>
      <w:bookmarkEnd w:id="124"/>
      <w:bookmarkEnd w:id="125"/>
    </w:p>
    <w:p w14:paraId="27897C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参与比选的供应商应承担其编制响应文件与递交响应文件所涉及的一切费用，不论比选结果如何，采购人在任何情况下无义务也无责任承担这些费用。</w:t>
      </w:r>
    </w:p>
    <w:p w14:paraId="520428A6">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26" w:name="_Toc342913391"/>
      <w:bookmarkStart w:id="127" w:name="_Toc439685500"/>
      <w:bookmarkStart w:id="128" w:name="_Toc4321"/>
      <w:r>
        <w:rPr>
          <w:rFonts w:hint="eastAsia" w:ascii="仿宋" w:hAnsi="仿宋" w:eastAsia="仿宋" w:cs="仿宋"/>
          <w:b/>
          <w:color w:val="auto"/>
          <w:kern w:val="2"/>
          <w:sz w:val="24"/>
          <w:szCs w:val="24"/>
          <w:lang w:val="en-US" w:eastAsia="zh-CN" w:bidi="ar-SA"/>
        </w:rPr>
        <w:t>二、</w:t>
      </w:r>
      <w:bookmarkEnd w:id="126"/>
      <w:bookmarkEnd w:id="127"/>
      <w:r>
        <w:rPr>
          <w:rFonts w:hint="eastAsia" w:ascii="仿宋" w:hAnsi="仿宋" w:eastAsia="仿宋" w:cs="仿宋"/>
          <w:b/>
          <w:color w:val="auto"/>
          <w:kern w:val="2"/>
          <w:sz w:val="24"/>
          <w:szCs w:val="24"/>
          <w:lang w:val="en-US" w:eastAsia="zh-CN" w:bidi="ar-SA"/>
        </w:rPr>
        <w:t>比选文件</w:t>
      </w:r>
      <w:bookmarkEnd w:id="128"/>
    </w:p>
    <w:p w14:paraId="715378D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29" w:name="_Toc179714297"/>
      <w:bookmarkStart w:id="130" w:name="_Toc342913392"/>
      <w:bookmarkStart w:id="131" w:name="_Toc102227318"/>
      <w:bookmarkStart w:id="132" w:name="_Toc439685501"/>
      <w:r>
        <w:rPr>
          <w:rFonts w:hint="eastAsia" w:ascii="仿宋" w:hAnsi="仿宋" w:eastAsia="仿宋" w:cs="仿宋"/>
          <w:color w:val="auto"/>
          <w:sz w:val="24"/>
          <w:szCs w:val="24"/>
          <w:highlight w:val="none"/>
          <w:lang w:val="en-US" w:eastAsia="zh-CN"/>
        </w:rPr>
        <w:t>（一）比选文件由采购邀请书、项目服务需求、项目商务需求、比选程序及方法、评审标准、无效响应和采购终止、供应商须知、合同草案条款、响应文件编制要求七部分组成。</w:t>
      </w:r>
    </w:p>
    <w:p w14:paraId="738D620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（二）采购人或采购代理机构所作的一切有效的书面通知、修改及补充，都是比选文件不可分割的部分。</w:t>
      </w:r>
    </w:p>
    <w:p w14:paraId="7F27408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（三）比选文件的解释</w:t>
      </w:r>
    </w:p>
    <w:p w14:paraId="7CF299E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如对比选文件有疑问，必须以书面形式在提交响应文件截止时间3个工作日前向采购人或采购代理机构要求澄清，采购人或采购代理机构可视具体情况做出处理或答复。如供应商未提出疑问，视为完全理解并同意本比选文件。一经进入比选程序，即视为供应商已详细阅读全部文件资料，完全理解比选文件所有条款内容并同意放弃对这方面有不明白及误解的权利。</w:t>
      </w:r>
      <w:bookmarkStart w:id="133" w:name="_Toc318166429"/>
      <w:bookmarkStart w:id="134" w:name="_Toc318159160"/>
      <w:bookmarkStart w:id="135" w:name="_Toc318159349"/>
      <w:bookmarkStart w:id="136" w:name="_Toc318159780"/>
    </w:p>
    <w:p w14:paraId="2F815F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（四）本比选文件中，比选小组根据与供应商进行比选可能实质性变动的内容为比选文件第二、三、六篇全部内容。</w:t>
      </w:r>
    </w:p>
    <w:p w14:paraId="6A38072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（五）评审的依据为比选文件和响应文件（含有效的书面承诺）。比选小组判断响应文件对比选文件的响应，仅基于响应文件本身而不靠外部证据。</w:t>
      </w:r>
    </w:p>
    <w:bookmarkEnd w:id="133"/>
    <w:bookmarkEnd w:id="134"/>
    <w:bookmarkEnd w:id="135"/>
    <w:bookmarkEnd w:id="136"/>
    <w:p w14:paraId="6807D82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37" w:name="_Toc29062"/>
      <w:r>
        <w:rPr>
          <w:rFonts w:hint="eastAsia" w:ascii="仿宋" w:hAnsi="仿宋" w:eastAsia="仿宋" w:cs="仿宋"/>
          <w:b/>
          <w:color w:val="auto"/>
          <w:kern w:val="2"/>
          <w:sz w:val="24"/>
          <w:szCs w:val="24"/>
          <w:lang w:val="en-US" w:eastAsia="zh-CN" w:bidi="ar-SA"/>
        </w:rPr>
        <w:t>三、比选要求</w:t>
      </w:r>
      <w:bookmarkEnd w:id="129"/>
      <w:bookmarkEnd w:id="130"/>
      <w:bookmarkEnd w:id="131"/>
      <w:bookmarkEnd w:id="132"/>
      <w:bookmarkEnd w:id="137"/>
    </w:p>
    <w:p w14:paraId="3A8BE2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38" w:name="_Toc439685502"/>
      <w:r>
        <w:rPr>
          <w:rFonts w:hint="eastAsia" w:ascii="仿宋" w:hAnsi="仿宋" w:eastAsia="仿宋" w:cs="仿宋"/>
          <w:color w:val="auto"/>
          <w:sz w:val="24"/>
          <w:szCs w:val="24"/>
          <w:highlight w:val="none"/>
          <w:lang w:val="en-US" w:eastAsia="zh-CN"/>
        </w:rPr>
        <w:t>（一）响应文件</w:t>
      </w:r>
    </w:p>
    <w:p w14:paraId="7BB946B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1.供应商应当按照比选文件的要求编制响应文件，并对比选文件提出的要求和条件作出实质性响应，响应文件原则上采用软面订本，同时应编制完整的页码、目录。</w:t>
      </w:r>
    </w:p>
    <w:p w14:paraId="244688F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2.响应文件组成</w:t>
      </w:r>
    </w:p>
    <w:p w14:paraId="68401D1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响应文件由第七篇“响应文件编制要求”规定的部分和供应商所作的一切有效补充、修改和承诺等文件组成，供应商应按照第七篇“响应文件编制要求”规定的目录顺序组织编写和装订，也可在基本格式基础上对表格进行扩展，未规定格式的由供应商自定格式。</w:t>
      </w:r>
    </w:p>
    <w:p w14:paraId="6590745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（二）联合体</w:t>
      </w:r>
    </w:p>
    <w:p w14:paraId="675C32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本项目不接受联合体比选。</w:t>
      </w:r>
    </w:p>
    <w:p w14:paraId="0AB4506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（三）比选有效期：响应文件及有关承诺文件有效期为提交响应文件截止时间起90天。</w:t>
      </w:r>
    </w:p>
    <w:p w14:paraId="07D3BC4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（四）比选保证金：</w:t>
      </w:r>
    </w:p>
    <w:p w14:paraId="3A646E3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1.供应商提交保证金金额和方式详见本文件第一篇“五、比选保证金”；</w:t>
      </w:r>
    </w:p>
    <w:p w14:paraId="655E9A3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2.发生以下情况之一者，比选保证金不予退还：</w:t>
      </w:r>
    </w:p>
    <w:p w14:paraId="6D51F7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 供应商在提交响应文件截止时间后撤回响应文件的；</w:t>
      </w:r>
    </w:p>
    <w:p w14:paraId="0A28BB2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2.2 供应商在响应文件中提供虚假材料的；</w:t>
      </w:r>
    </w:p>
    <w:p w14:paraId="6A10470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2.3 除因不可抗力或比选文件认可的情形以外，成交供应商不与采购人签订合同的；</w:t>
      </w:r>
    </w:p>
    <w:p w14:paraId="080FACB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2.4 供应商与采购人、其他供应商或者采购代理机构恶意串通的；</w:t>
      </w:r>
    </w:p>
    <w:p w14:paraId="367964E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 成交供应商不按规定的时间或拒绝按中标状态签订合同（即不按照竞争性比选文件确定的合同文本以及采购标的、规格型号、采购金额、采购数量、服务和商务要求等事项签订采购合同的。）。</w:t>
      </w:r>
    </w:p>
    <w:p w14:paraId="51E5DDA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（四）修正错误</w:t>
      </w:r>
    </w:p>
    <w:p w14:paraId="6C04DCF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1.若供应商所递交的响应文件中的价格出现大写金额和小写金额不一致的错误，以大写金额修正为准。</w:t>
      </w:r>
    </w:p>
    <w:p w14:paraId="2B4C16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2.比选小组按上述修正错误的原则及方法修正供应商的报价，供应商同意并签字确认后，修正后的报价对供应商具有约束作用。如果供应商不接受修正后的价格，将失去成为成交供应商的资格。</w:t>
      </w:r>
    </w:p>
    <w:p w14:paraId="0EB30A14">
      <w:pPr>
        <w:pageBreakBefore w:val="0"/>
        <w:widowControl w:val="0"/>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（五）提交</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的份数和签署</w:t>
      </w:r>
    </w:p>
    <w:p w14:paraId="0EE4731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b/>
          <w:bCs/>
          <w:color w:val="auto"/>
          <w:sz w:val="24"/>
          <w:szCs w:val="24"/>
          <w:highlight w:val="none"/>
          <w:lang w:val="en-US" w:eastAsia="zh-CN"/>
        </w:rPr>
        <w:t>响应文件一式四份，其中正本一份，副本二份，电子文档一份</w:t>
      </w:r>
      <w:r>
        <w:rPr>
          <w:rFonts w:hint="eastAsia" w:ascii="仿宋" w:hAnsi="仿宋" w:eastAsia="仿宋" w:cs="仿宋"/>
          <w:b w:val="0"/>
          <w:bCs w:val="0"/>
          <w:color w:val="auto"/>
          <w:sz w:val="24"/>
          <w:szCs w:val="24"/>
          <w:highlight w:val="none"/>
          <w:lang w:val="en-US" w:eastAsia="zh-CN"/>
        </w:rPr>
        <w:t>（电子文档内容应与纸质文件正本一致，如不一致以纸质文件正本为准。推荐采用光盘或U盘为电子文档载体）；副本可为正本的复印件，应与正本一致，如出现不一致情况以正本为准。</w:t>
      </w:r>
    </w:p>
    <w:p w14:paraId="23222EB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2.在响应文件中，正本必须按第七篇响应文件编制要求签字、盖章，副本可为正本的复印件，应与正本一致，如出现不一致情况以正本为准。</w:t>
      </w:r>
    </w:p>
    <w:p w14:paraId="40F02C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（六）响应文件的递交</w:t>
      </w:r>
    </w:p>
    <w:p w14:paraId="527C63B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1.响应文件的密封与标记</w:t>
      </w:r>
    </w:p>
    <w:p w14:paraId="68139BB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响应文件的正本一份和U盘或光盘装入一个密封袋，副本二份装入一个密封袋。密封袋上注明项目编号、项目名称、供应商名称、“正本”、“副本”字样。密封袋的封口应加盖供应商公章或法人授权代表签字并有字样：2026年  月   日  时  分（北京时间）前不得开启的密封条。</w:t>
      </w:r>
    </w:p>
    <w:p w14:paraId="29079FE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2.响应文件递交截止时间：参阅采购邀请书。</w:t>
      </w:r>
    </w:p>
    <w:p w14:paraId="7A7B29B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3.响应文件语言：简体中文</w:t>
      </w:r>
    </w:p>
    <w:p w14:paraId="1C1CA37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（七）供应商参与人员</w:t>
      </w:r>
    </w:p>
    <w:p w14:paraId="182658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各个供应商可派1-2名代表参与比选，至少1人应为法定代表人或具有法定代表人授权委托书的授权代表。</w:t>
      </w:r>
    </w:p>
    <w:p w14:paraId="246407D2">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39" w:name="_Toc24826"/>
      <w:r>
        <w:rPr>
          <w:rFonts w:hint="eastAsia" w:ascii="仿宋" w:hAnsi="仿宋" w:eastAsia="仿宋" w:cs="仿宋"/>
          <w:b/>
          <w:color w:val="auto"/>
          <w:kern w:val="2"/>
          <w:sz w:val="24"/>
          <w:szCs w:val="24"/>
          <w:lang w:val="en-US" w:eastAsia="zh-CN" w:bidi="ar-SA"/>
        </w:rPr>
        <w:t>四、成交供应商的确认和变更</w:t>
      </w:r>
      <w:bookmarkEnd w:id="138"/>
      <w:bookmarkEnd w:id="139"/>
    </w:p>
    <w:p w14:paraId="71D24DF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40" w:name="_Toc102227321"/>
      <w:bookmarkStart w:id="141" w:name="_Toc439685503"/>
      <w:bookmarkStart w:id="142" w:name="_Toc342913395"/>
      <w:r>
        <w:rPr>
          <w:rFonts w:hint="eastAsia" w:ascii="仿宋" w:hAnsi="仿宋" w:eastAsia="仿宋" w:cs="仿宋"/>
          <w:color w:val="auto"/>
          <w:sz w:val="24"/>
          <w:szCs w:val="24"/>
          <w:highlight w:val="none"/>
          <w:lang w:val="en-US" w:eastAsia="zh-CN"/>
        </w:rPr>
        <w:t>（一）成交供应商的确认</w:t>
      </w:r>
    </w:p>
    <w:p w14:paraId="33D64B1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代理机构应当在评审结束后2个工作日内将评审报告送采购人确认。采购人应当在收到评审报告后5个工作日内，从评审报告提出的中标候选人中，按照排序由高到低的原则确定成交供应商，也可以书面授权比选小组直接确定成交供应商。采购人逾期未确定成交供应商且不提出异议的，视为确定评审报告提出的排序第一的供应商为成交供应商。</w:t>
      </w:r>
    </w:p>
    <w:p w14:paraId="60A4A15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（二）成交供应商的变更</w:t>
      </w:r>
    </w:p>
    <w:p w14:paraId="48100B0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成交供应商拒绝签订政府采购合同的，采购人可以按照评审报告推荐的成交供应商顺序，确定排名下一位的候选人为成交供应商，也可以重新开展政府采购活动。拒绝签订政府采购合同的成交供应商不得参加对该项目重新开展的采购活动。</w:t>
      </w:r>
    </w:p>
    <w:p w14:paraId="1F0454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2.成交供应商无充分理由放弃中标的，采购人将会同采购代理机构把相关情况报财政部门，财政部门将根据相关法律法规的规定对违规供应商进行处罚。</w:t>
      </w:r>
    </w:p>
    <w:p w14:paraId="57AC641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43" w:name="_Toc15527"/>
      <w:r>
        <w:rPr>
          <w:rFonts w:hint="eastAsia" w:ascii="仿宋" w:hAnsi="仿宋" w:eastAsia="仿宋" w:cs="仿宋"/>
          <w:b/>
          <w:color w:val="auto"/>
          <w:kern w:val="2"/>
          <w:sz w:val="24"/>
          <w:szCs w:val="24"/>
          <w:lang w:val="en-US" w:eastAsia="zh-CN" w:bidi="ar-SA"/>
        </w:rPr>
        <w:t>五、中标（成交）通知</w:t>
      </w:r>
      <w:bookmarkEnd w:id="140"/>
      <w:bookmarkEnd w:id="141"/>
      <w:bookmarkEnd w:id="142"/>
      <w:bookmarkEnd w:id="143"/>
    </w:p>
    <w:p w14:paraId="189123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44" w:name="_Toc439685504"/>
      <w:r>
        <w:rPr>
          <w:rFonts w:hint="eastAsia" w:ascii="仿宋" w:hAnsi="仿宋" w:eastAsia="仿宋" w:cs="仿宋"/>
          <w:color w:val="auto"/>
          <w:sz w:val="24"/>
          <w:szCs w:val="24"/>
          <w:highlight w:val="none"/>
          <w:lang w:val="en-US" w:eastAsia="zh-CN"/>
        </w:rPr>
        <w:t>（一）成交供应商确定后，采购代理机构将在重庆市子漫人力资源服务有限公司官网（https://www.cqzmwsrc.com/）上发布中标（成交）结果公告。</w:t>
      </w:r>
    </w:p>
    <w:p w14:paraId="62942F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（二）结果公告发出同时，采购代理机构将以书面形式发出《中标（成交）通知书》。《中标（成交）通知书》一经发出即发生法律效力。</w:t>
      </w:r>
    </w:p>
    <w:p w14:paraId="21068D7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（三）《中标（成交）通知书》将作为签订合同的依据。</w:t>
      </w:r>
    </w:p>
    <w:p w14:paraId="60B0DAB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（四）如有供应商对中标结果提出质疑的，在质疑处理完毕后发出中标（成交）通知书。</w:t>
      </w:r>
    </w:p>
    <w:p w14:paraId="4BBE9951">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45" w:name="_Toc20720"/>
      <w:r>
        <w:rPr>
          <w:rFonts w:hint="eastAsia" w:ascii="仿宋" w:hAnsi="仿宋" w:eastAsia="仿宋" w:cs="仿宋"/>
          <w:b/>
          <w:color w:val="auto"/>
          <w:kern w:val="2"/>
          <w:sz w:val="24"/>
          <w:szCs w:val="24"/>
          <w:lang w:val="en-US" w:eastAsia="zh-CN" w:bidi="ar-SA"/>
        </w:rPr>
        <w:t>六、关于质疑和投诉</w:t>
      </w:r>
      <w:bookmarkEnd w:id="144"/>
      <w:bookmarkEnd w:id="145"/>
    </w:p>
    <w:p w14:paraId="57600AC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bookmarkStart w:id="146" w:name="_Toc102227322"/>
      <w:bookmarkStart w:id="147" w:name="_Toc342913396"/>
      <w:bookmarkStart w:id="148" w:name="_Toc439685507"/>
      <w:r>
        <w:rPr>
          <w:rFonts w:hint="eastAsia" w:ascii="仿宋" w:hAnsi="仿宋" w:eastAsia="仿宋" w:cs="仿宋"/>
          <w:color w:val="auto"/>
          <w:sz w:val="24"/>
          <w:szCs w:val="24"/>
          <w:highlight w:val="none"/>
          <w:lang w:val="en-US" w:eastAsia="zh-CN"/>
        </w:rPr>
        <w:t>（一）质疑</w:t>
      </w:r>
    </w:p>
    <w:p w14:paraId="443111C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供应商认为竞争性比选文件、采购过程和中标结果使自己的权益收到伤害的，可向采购人或采购代理机构以书面形式提出质疑。</w:t>
      </w:r>
    </w:p>
    <w:p w14:paraId="4FCA488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提出质疑的应当是参与所质疑项目采购活动的供应商。</w:t>
      </w:r>
    </w:p>
    <w:p w14:paraId="10B030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1.质疑内容、时限</w:t>
      </w:r>
    </w:p>
    <w:p w14:paraId="6ED6AF0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1.1供应商认为竞争性比选文件、采购过程、中标结果使自己的权益受到损害的，可以在知道或者应知其权益受到损害之日起7个工作日内，以书面形式向采购人、采购代理机构提出质疑。</w:t>
      </w:r>
    </w:p>
    <w:p w14:paraId="370A56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 供应商提出质疑应当提交质疑函和必要的证明材料，质疑函应当包括下列内容：</w:t>
      </w:r>
    </w:p>
    <w:p w14:paraId="2D3BEC7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（1）供应商的姓名或者名称、地址、邮编、联系人及联系电话；</w:t>
      </w:r>
    </w:p>
    <w:p w14:paraId="47157A2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（2）质疑项目的名称、项目号以及招标项目编号；</w:t>
      </w:r>
    </w:p>
    <w:p w14:paraId="72D52CA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（3）具体、明确的质疑事项和与质疑事项相关的请求；</w:t>
      </w:r>
    </w:p>
    <w:p w14:paraId="572307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（4）事实依据；</w:t>
      </w:r>
    </w:p>
    <w:p w14:paraId="7C8FAD2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（5）必要的法律依据；</w:t>
      </w:r>
    </w:p>
    <w:p w14:paraId="09A5B37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（6）提出质疑的日期；</w:t>
      </w:r>
    </w:p>
    <w:p w14:paraId="74C6FA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（7）营业执照（或事业单位法人证书，或个体工商户营业执照或有效的自然人身份证明、组织机构代码证）复印件；</w:t>
      </w:r>
    </w:p>
    <w:p w14:paraId="110A69A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（8）法定代表人授权委托书原件、法定代表人身份证复印件和其授权代表的身份证复印件（供应商为自然人的提供自然人身份证复印件）；</w:t>
      </w:r>
    </w:p>
    <w:p w14:paraId="62D1FB6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 供应商为自然人的，质疑函应当由本人签字；供应商为法人或者其他组织的，质疑函应当由法定代表人、主要负责人，或者其授权代表签字或者盖章，并加盖公章。</w:t>
      </w:r>
    </w:p>
    <w:p w14:paraId="6360323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2.质疑答复</w:t>
      </w:r>
    </w:p>
    <w:p w14:paraId="3BD3EE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采购人、采购代理机构应当在收到供应商的书面质疑后七个工作日内作出答复，并以书面形式通知质疑供应商和其他有关供应商。</w:t>
      </w:r>
    </w:p>
    <w:p w14:paraId="4BCD89F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3.其他</w:t>
      </w:r>
    </w:p>
    <w:p w14:paraId="3703F80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3.1 供应商应按照《政府采购质疑和投诉办法》（财政部令第94号）及相关法律法规要求，在法定质疑期内一次性提出针对同一采购程序环节的质疑。</w:t>
      </w:r>
    </w:p>
    <w:p w14:paraId="031ED2C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 质疑函范本可在财政部门户网站和中国政府采购网下载。</w:t>
      </w:r>
    </w:p>
    <w:p w14:paraId="71922FA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（二）投诉</w:t>
      </w:r>
    </w:p>
    <w:p w14:paraId="5A022E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1.供应商对采购人、采购代理机构的答复不满意，或者采购人、采购代理机构未在规定时间内作出答复的，可以在答复期满后15个工作日内按照相关法律法规向财政部门提起投诉。</w:t>
      </w:r>
    </w:p>
    <w:p w14:paraId="5D5B06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2.供应商应按照《政府采购质疑和投诉办法》（财政部令第94号）及相关法律法规要求递交投诉书和必要的证明材料。投诉书范本可在财政部门户网站和中国政府采购网下载。</w:t>
      </w:r>
    </w:p>
    <w:p w14:paraId="5A8CD63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5ABFCE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4.在确定受理投诉后，财政部门自受理投诉之日起30个工作日内（需要检验、检测、鉴定、专家评审以及需要投诉人补正材料的，所需时间不计算在投诉处理期限内）对投诉事项做出处理决定。</w:t>
      </w:r>
    </w:p>
    <w:p w14:paraId="3E28125E">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49" w:name="_Toc28119"/>
      <w:r>
        <w:rPr>
          <w:rFonts w:hint="eastAsia" w:ascii="仿宋" w:hAnsi="仿宋" w:eastAsia="仿宋" w:cs="仿宋"/>
          <w:b/>
          <w:color w:val="auto"/>
          <w:kern w:val="2"/>
          <w:sz w:val="24"/>
          <w:szCs w:val="24"/>
          <w:lang w:val="en-US" w:eastAsia="zh-CN" w:bidi="ar-SA"/>
        </w:rPr>
        <w:t>七、采购代理服务费</w:t>
      </w:r>
      <w:bookmarkEnd w:id="149"/>
    </w:p>
    <w:p w14:paraId="796FB5A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（一）成交供应商在领取成交通知书前，向采购代理机构支付代理服务费5000.00元。</w:t>
      </w:r>
    </w:p>
    <w:p w14:paraId="780C7C7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（二）服务费以转账方式支付。</w:t>
      </w:r>
    </w:p>
    <w:p w14:paraId="569951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（三）采购代理服务费缴纳账号：</w:t>
      </w:r>
    </w:p>
    <w:p w14:paraId="12EF8FE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户 名：重庆市聚创招标代理有限公司</w:t>
      </w:r>
    </w:p>
    <w:p w14:paraId="33FF813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开户行：中国建设银行股份有限公司重庆南坪支行</w:t>
      </w:r>
    </w:p>
    <w:p w14:paraId="0101806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账 号：5005 0107 3600 0000 2102</w:t>
      </w:r>
    </w:p>
    <w:p w14:paraId="7A538FC8">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50" w:name="_Toc23251"/>
      <w:r>
        <w:rPr>
          <w:rFonts w:hint="eastAsia" w:ascii="仿宋" w:hAnsi="仿宋" w:eastAsia="仿宋" w:cs="仿宋"/>
          <w:b/>
          <w:color w:val="auto"/>
          <w:kern w:val="2"/>
          <w:sz w:val="24"/>
          <w:szCs w:val="24"/>
          <w:lang w:val="en-US" w:eastAsia="zh-CN" w:bidi="ar-SA"/>
        </w:rPr>
        <w:t>八、签订</w:t>
      </w:r>
      <w:bookmarkEnd w:id="146"/>
      <w:r>
        <w:rPr>
          <w:rFonts w:hint="eastAsia" w:ascii="仿宋" w:hAnsi="仿宋" w:eastAsia="仿宋" w:cs="仿宋"/>
          <w:b/>
          <w:color w:val="auto"/>
          <w:kern w:val="2"/>
          <w:sz w:val="24"/>
          <w:szCs w:val="24"/>
          <w:lang w:val="en-US" w:eastAsia="zh-CN" w:bidi="ar-SA"/>
        </w:rPr>
        <w:t>合同</w:t>
      </w:r>
      <w:bookmarkEnd w:id="147"/>
      <w:bookmarkEnd w:id="148"/>
      <w:bookmarkEnd w:id="150"/>
    </w:p>
    <w:p w14:paraId="20575F8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（一）采购人与成交供应商应当在中标（成交）通知书发出之日起20日内，按照竞争性比选文件确定的合同文本以及采购标的、规格型号、采购金额、采购数量、服务和服务要求等事项签订采购合同。</w:t>
      </w:r>
    </w:p>
    <w:p w14:paraId="1676DF1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（二）比选文件、成交供应商的响应文件及有效承诺文件等，均为签订合同的依据。</w:t>
      </w:r>
    </w:p>
    <w:p w14:paraId="24CD42D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（三）如成交供应商放弃成交项目或在签订合同时擅自改变成交状态的，采购人将按照相关法律法规处理。</w:t>
      </w:r>
    </w:p>
    <w:p w14:paraId="4DDFF7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采购人不得向成交供应商提出超出比选文件以外的任何要求作为签订合同的条件，不得与成交供应商订立背离比选确定的合同文本以及采购标的、规格型号、采购金额、采购数量、服务和服务要求等实质性内容的协议。</w:t>
      </w:r>
    </w:p>
    <w:p w14:paraId="7588980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（五）除不可抗力等因素外，中标（成交）通知书发出后，采购人改变中标结果，或者成交供应商拒绝签订政府采购合同的，应当承担相应的法律责任。</w:t>
      </w:r>
    </w:p>
    <w:p w14:paraId="4F4FA253">
      <w:pPr>
        <w:pageBreakBefore w:val="0"/>
        <w:widowControl w:val="0"/>
        <w:kinsoku/>
        <w:wordWrap/>
        <w:overflowPunct/>
        <w:topLinePunct w:val="0"/>
        <w:autoSpaceDE/>
        <w:autoSpaceDN/>
        <w:bidi w:val="0"/>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6EE32E8F">
      <w:pPr>
        <w:spacing w:line="400" w:lineRule="exact"/>
        <w:ind w:firstLine="480" w:firstLineChars="200"/>
        <w:rPr>
          <w:rFonts w:hint="eastAsia" w:ascii="仿宋" w:hAnsi="仿宋" w:eastAsia="仿宋" w:cs="仿宋"/>
          <w:color w:val="auto"/>
          <w:sz w:val="24"/>
          <w:szCs w:val="24"/>
          <w:highlight w:val="none"/>
        </w:rPr>
      </w:pPr>
    </w:p>
    <w:p w14:paraId="1DE99DB0">
      <w:pPr>
        <w:pStyle w:val="2"/>
        <w:spacing w:before="0" w:beforeLines="0" w:after="0" w:afterLines="0" w:line="360" w:lineRule="auto"/>
        <w:rPr>
          <w:rFonts w:hint="eastAsia" w:ascii="仿宋" w:hAnsi="仿宋" w:eastAsia="仿宋" w:cs="仿宋"/>
          <w:b/>
          <w:bCs/>
          <w:color w:val="auto"/>
          <w:sz w:val="44"/>
          <w:szCs w:val="44"/>
          <w:highlight w:val="none"/>
          <w:lang w:val="en-US" w:eastAsia="zh-CN"/>
        </w:rPr>
      </w:pPr>
      <w:bookmarkStart w:id="151" w:name="_Toc5627"/>
      <w:r>
        <w:rPr>
          <w:rFonts w:hint="eastAsia" w:ascii="仿宋" w:hAnsi="仿宋" w:eastAsia="仿宋" w:cs="仿宋"/>
          <w:b/>
          <w:bCs/>
          <w:color w:val="auto"/>
          <w:sz w:val="44"/>
          <w:szCs w:val="44"/>
          <w:highlight w:val="none"/>
          <w:lang w:val="en-US" w:eastAsia="zh-CN"/>
        </w:rPr>
        <w:t>第六篇  采购合同</w:t>
      </w:r>
      <w:bookmarkEnd w:id="151"/>
    </w:p>
    <w:p w14:paraId="11B5EADF">
      <w:pPr>
        <w:spacing w:line="400" w:lineRule="exact"/>
        <w:ind w:firstLine="720" w:firstLineChars="200"/>
        <w:rPr>
          <w:rFonts w:hint="eastAsia" w:ascii="仿宋" w:hAnsi="仿宋" w:eastAsia="仿宋" w:cs="仿宋"/>
          <w:color w:val="auto"/>
          <w:sz w:val="36"/>
          <w:szCs w:val="36"/>
          <w:highlight w:val="none"/>
          <w:lang w:val="en-US" w:eastAsia="zh-CN"/>
        </w:rPr>
      </w:pPr>
    </w:p>
    <w:p w14:paraId="4F05833F">
      <w:pPr>
        <w:jc w:val="center"/>
        <w:rPr>
          <w:rFonts w:hint="eastAsia" w:ascii="仿宋" w:hAnsi="仿宋" w:eastAsia="仿宋" w:cs="仿宋"/>
          <w:color w:val="auto"/>
          <w:sz w:val="28"/>
          <w:szCs w:val="32"/>
          <w:highlight w:val="none"/>
        </w:rPr>
      </w:pPr>
      <w:r>
        <w:rPr>
          <w:rFonts w:hint="eastAsia" w:ascii="仿宋" w:hAnsi="仿宋" w:eastAsia="仿宋" w:cs="仿宋"/>
          <w:color w:val="auto"/>
          <w:sz w:val="28"/>
          <w:szCs w:val="32"/>
          <w:highlight w:val="none"/>
        </w:rPr>
        <w:t>（具体与</w:t>
      </w:r>
      <w:r>
        <w:rPr>
          <w:rFonts w:hint="eastAsia" w:ascii="仿宋" w:hAnsi="仿宋" w:eastAsia="仿宋" w:cs="仿宋"/>
          <w:color w:val="auto"/>
          <w:sz w:val="28"/>
          <w:szCs w:val="32"/>
          <w:highlight w:val="none"/>
          <w:lang w:val="en-US" w:eastAsia="zh-CN"/>
        </w:rPr>
        <w:t>采购人</w:t>
      </w:r>
      <w:r>
        <w:rPr>
          <w:rFonts w:hint="eastAsia" w:ascii="仿宋" w:hAnsi="仿宋" w:eastAsia="仿宋" w:cs="仿宋"/>
          <w:color w:val="auto"/>
          <w:sz w:val="28"/>
          <w:szCs w:val="32"/>
          <w:highlight w:val="none"/>
        </w:rPr>
        <w:t>签订的合同为准）</w:t>
      </w:r>
    </w:p>
    <w:p w14:paraId="0705E4F2">
      <w:pPr>
        <w:spacing w:line="400" w:lineRule="exact"/>
        <w:ind w:firstLine="480" w:firstLineChars="200"/>
        <w:rPr>
          <w:rFonts w:hint="eastAsia" w:ascii="仿宋" w:hAnsi="仿宋" w:eastAsia="仿宋" w:cs="仿宋"/>
          <w:color w:val="auto"/>
          <w:sz w:val="24"/>
          <w:szCs w:val="24"/>
          <w:highlight w:val="none"/>
          <w:lang w:val="en-US" w:eastAsia="zh-CN"/>
        </w:rPr>
      </w:pPr>
    </w:p>
    <w:p w14:paraId="3C0723D4">
      <w:pPr>
        <w:spacing w:line="400" w:lineRule="exact"/>
        <w:ind w:firstLine="480" w:firstLineChars="200"/>
        <w:rPr>
          <w:rFonts w:hint="eastAsia" w:ascii="仿宋" w:hAnsi="仿宋" w:eastAsia="仿宋" w:cs="仿宋"/>
          <w:color w:val="auto"/>
          <w:sz w:val="24"/>
          <w:szCs w:val="24"/>
          <w:highlight w:val="none"/>
        </w:rPr>
      </w:pPr>
    </w:p>
    <w:p w14:paraId="199E371C">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62B2A38C">
      <w:pPr>
        <w:spacing w:line="400" w:lineRule="exact"/>
        <w:ind w:firstLine="480" w:firstLineChars="200"/>
        <w:rPr>
          <w:rFonts w:hint="eastAsia" w:ascii="仿宋" w:hAnsi="仿宋" w:eastAsia="仿宋" w:cs="仿宋"/>
          <w:color w:val="auto"/>
          <w:sz w:val="24"/>
          <w:szCs w:val="24"/>
          <w:highlight w:val="none"/>
        </w:rPr>
      </w:pPr>
    </w:p>
    <w:p w14:paraId="1F45151C">
      <w:pPr>
        <w:spacing w:line="400" w:lineRule="exact"/>
        <w:rPr>
          <w:rFonts w:hint="eastAsia" w:ascii="仿宋" w:hAnsi="仿宋" w:eastAsia="仿宋" w:cs="仿宋"/>
          <w:color w:val="auto"/>
          <w:sz w:val="24"/>
          <w:szCs w:val="24"/>
          <w:highlight w:val="none"/>
        </w:rPr>
      </w:pPr>
    </w:p>
    <w:p w14:paraId="64F6F1C9">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0F85DC6F">
      <w:pPr>
        <w:pStyle w:val="2"/>
        <w:spacing w:before="0" w:beforeLines="0" w:after="0" w:afterLines="0" w:line="360" w:lineRule="auto"/>
        <w:rPr>
          <w:rFonts w:hint="eastAsia" w:ascii="仿宋" w:hAnsi="仿宋" w:eastAsia="仿宋" w:cs="仿宋"/>
          <w:b/>
          <w:bCs/>
          <w:color w:val="auto"/>
          <w:sz w:val="44"/>
          <w:szCs w:val="44"/>
          <w:highlight w:val="none"/>
        </w:rPr>
      </w:pPr>
      <w:bookmarkStart w:id="152" w:name="_Toc13984"/>
      <w:r>
        <w:rPr>
          <w:rFonts w:hint="eastAsia" w:ascii="仿宋" w:hAnsi="仿宋" w:eastAsia="仿宋" w:cs="仿宋"/>
          <w:b/>
          <w:bCs/>
          <w:color w:val="auto"/>
          <w:sz w:val="44"/>
          <w:szCs w:val="44"/>
          <w:highlight w:val="none"/>
        </w:rPr>
        <w:t xml:space="preserve">第七篇  </w:t>
      </w:r>
      <w:r>
        <w:rPr>
          <w:rFonts w:hint="eastAsia" w:ascii="仿宋" w:hAnsi="仿宋" w:eastAsia="仿宋" w:cs="仿宋"/>
          <w:b/>
          <w:bCs/>
          <w:color w:val="auto"/>
          <w:sz w:val="44"/>
          <w:szCs w:val="44"/>
          <w:highlight w:val="none"/>
          <w:lang w:eastAsia="zh-CN"/>
        </w:rPr>
        <w:t>响应文件</w:t>
      </w:r>
      <w:r>
        <w:rPr>
          <w:rFonts w:hint="eastAsia" w:ascii="仿宋" w:hAnsi="仿宋" w:eastAsia="仿宋" w:cs="仿宋"/>
          <w:b/>
          <w:bCs/>
          <w:color w:val="auto"/>
          <w:sz w:val="44"/>
          <w:szCs w:val="44"/>
          <w:highlight w:val="none"/>
        </w:rPr>
        <w:t>编制要求</w:t>
      </w:r>
      <w:bookmarkEnd w:id="152"/>
    </w:p>
    <w:p w14:paraId="1E0D1C0D">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一、经济部分</w:t>
      </w:r>
    </w:p>
    <w:p w14:paraId="08E31612">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（一）比选报价函</w:t>
      </w:r>
    </w:p>
    <w:p w14:paraId="631564D5">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二、服务部分</w:t>
      </w:r>
    </w:p>
    <w:p w14:paraId="6D2E2817">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（一）服务方案（格式自定）</w:t>
      </w:r>
    </w:p>
    <w:p w14:paraId="30340C4D">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（二）服务响应偏离表</w:t>
      </w:r>
    </w:p>
    <w:p w14:paraId="4DC893C4">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三、商务部分</w:t>
      </w:r>
    </w:p>
    <w:p w14:paraId="1F47C75F">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）商务响应偏离表</w:t>
      </w:r>
    </w:p>
    <w:p w14:paraId="76DD61A5">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）商务评分需提供的资料（格式自定）</w:t>
      </w:r>
    </w:p>
    <w:p w14:paraId="67BAE000">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四、资格条件及其他</w:t>
      </w:r>
    </w:p>
    <w:p w14:paraId="662FEC7A">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法人营业执照（副本）或事业单位法人证书（副本）或个体工商户营业执照或有效的自然人身份证明或社会团体法人登记证书（提供复印件）.</w:t>
      </w:r>
    </w:p>
    <w:p w14:paraId="2C4C781A">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）法定代表人身份证明书（格式）</w:t>
      </w:r>
    </w:p>
    <w:p w14:paraId="1A57CAC3">
      <w:pPr>
        <w:snapToGrid w:val="0"/>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）法定代表人授权委托书（格式）</w:t>
      </w:r>
    </w:p>
    <w:p w14:paraId="44017AB7">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）基本资格条件承诺函（格式）</w:t>
      </w:r>
    </w:p>
    <w:p w14:paraId="62431BB2">
      <w:pPr>
        <w:spacing w:line="44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）特定资格条件证明文件</w:t>
      </w:r>
    </w:p>
    <w:p w14:paraId="448E8A0B">
      <w:pPr>
        <w:snapToGrid w:val="0"/>
        <w:spacing w:line="440" w:lineRule="exact"/>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五、其他应提供的资料</w:t>
      </w:r>
    </w:p>
    <w:p w14:paraId="4E065761">
      <w:pPr>
        <w:tabs>
          <w:tab w:val="left" w:pos="6300"/>
        </w:tabs>
        <w:snapToGrid w:val="0"/>
        <w:spacing w:line="400" w:lineRule="exact"/>
        <w:ind w:firstLine="480" w:firstLineChars="200"/>
        <w:rPr>
          <w:rFonts w:hint="eastAsia" w:ascii="仿宋" w:hAnsi="仿宋" w:eastAsia="仿宋" w:cs="仿宋"/>
          <w:color w:val="auto"/>
          <w:sz w:val="32"/>
          <w:szCs w:val="32"/>
          <w:highlight w:val="none"/>
        </w:rPr>
      </w:pPr>
      <w:r>
        <w:rPr>
          <w:rFonts w:hint="eastAsia" w:ascii="仿宋" w:hAnsi="仿宋" w:eastAsia="仿宋" w:cs="仿宋"/>
          <w:color w:val="auto"/>
          <w:sz w:val="24"/>
          <w:szCs w:val="24"/>
          <w:highlight w:val="none"/>
        </w:rPr>
        <w:t>（一）其他与项目有关的资料</w:t>
      </w:r>
      <w:bookmarkStart w:id="153" w:name="_Toc429584884"/>
    </w:p>
    <w:p w14:paraId="12611013">
      <w:pP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br w:type="page"/>
      </w:r>
    </w:p>
    <w:p w14:paraId="0D57138E">
      <w:pPr>
        <w:spacing w:line="700" w:lineRule="exact"/>
        <w:ind w:firstLine="360" w:firstLineChars="100"/>
        <w:rPr>
          <w:rFonts w:hint="eastAsia" w:ascii="仿宋" w:hAnsi="仿宋" w:eastAsia="仿宋" w:cs="仿宋"/>
          <w:color w:val="auto"/>
          <w:sz w:val="36"/>
          <w:szCs w:val="36"/>
          <w:highlight w:val="none"/>
          <w:lang w:val="en-US" w:eastAsia="zh-CN"/>
        </w:rPr>
      </w:pPr>
      <w:r>
        <w:rPr>
          <w:rFonts w:hint="eastAsia" w:ascii="仿宋" w:hAnsi="仿宋" w:eastAsia="仿宋" w:cs="仿宋"/>
          <w:color w:val="auto"/>
          <w:sz w:val="36"/>
          <w:szCs w:val="36"/>
          <w:highlight w:val="none"/>
        </w:rPr>
        <w:t>采购执行编号:</w:t>
      </w:r>
      <w:r>
        <w:rPr>
          <w:rFonts w:hint="eastAsia" w:ascii="仿宋" w:hAnsi="仿宋" w:eastAsia="仿宋" w:cs="仿宋"/>
          <w:color w:val="auto"/>
          <w:sz w:val="36"/>
          <w:szCs w:val="36"/>
          <w:highlight w:val="none"/>
          <w:lang w:val="en-US" w:eastAsia="zh-CN"/>
        </w:rPr>
        <w:t xml:space="preserve">           </w:t>
      </w:r>
    </w:p>
    <w:p w14:paraId="1E60B744">
      <w:pPr>
        <w:spacing w:line="700" w:lineRule="exact"/>
        <w:ind w:firstLine="360" w:firstLineChars="100"/>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项目名称：</w:t>
      </w:r>
    </w:p>
    <w:p w14:paraId="03D1EB3C">
      <w:pPr>
        <w:pStyle w:val="9"/>
        <w:rPr>
          <w:rFonts w:hint="eastAsia" w:ascii="仿宋" w:hAnsi="仿宋" w:eastAsia="仿宋" w:cs="仿宋"/>
          <w:color w:val="auto"/>
          <w:sz w:val="36"/>
          <w:szCs w:val="36"/>
          <w:highlight w:val="none"/>
        </w:rPr>
      </w:pPr>
    </w:p>
    <w:p w14:paraId="6668E584">
      <w:pPr>
        <w:rPr>
          <w:rFonts w:hint="eastAsia" w:ascii="仿宋" w:hAnsi="仿宋" w:eastAsia="仿宋" w:cs="仿宋"/>
          <w:color w:val="auto"/>
          <w:highlight w:val="none"/>
        </w:rPr>
      </w:pPr>
    </w:p>
    <w:p w14:paraId="3C324B7C">
      <w:pPr>
        <w:jc w:val="center"/>
        <w:outlineLvl w:val="0"/>
        <w:rPr>
          <w:rFonts w:hint="eastAsia" w:ascii="仿宋" w:hAnsi="仿宋" w:eastAsia="仿宋" w:cs="仿宋"/>
          <w:color w:val="auto"/>
          <w:spacing w:val="80"/>
          <w:sz w:val="112"/>
          <w:szCs w:val="112"/>
          <w:highlight w:val="none"/>
        </w:rPr>
      </w:pPr>
    </w:p>
    <w:p w14:paraId="20056031">
      <w:pPr>
        <w:pStyle w:val="9"/>
        <w:rPr>
          <w:rFonts w:hint="eastAsia"/>
        </w:rPr>
      </w:pPr>
    </w:p>
    <w:p w14:paraId="0773A686">
      <w:pPr>
        <w:pStyle w:val="9"/>
        <w:rPr>
          <w:rFonts w:hint="eastAsia"/>
        </w:rPr>
      </w:pPr>
    </w:p>
    <w:p w14:paraId="75F6A0BC">
      <w:pPr>
        <w:pStyle w:val="9"/>
        <w:rPr>
          <w:rFonts w:hint="eastAsia"/>
        </w:rPr>
      </w:pPr>
    </w:p>
    <w:p w14:paraId="397CC42F">
      <w:pPr>
        <w:jc w:val="center"/>
        <w:outlineLvl w:val="0"/>
        <w:rPr>
          <w:rFonts w:hint="eastAsia" w:ascii="仿宋" w:hAnsi="仿宋" w:eastAsia="仿宋" w:cs="仿宋"/>
          <w:color w:val="auto"/>
          <w:spacing w:val="80"/>
          <w:sz w:val="112"/>
          <w:szCs w:val="112"/>
          <w:highlight w:val="none"/>
          <w:lang w:eastAsia="zh-CN"/>
        </w:rPr>
      </w:pPr>
      <w:r>
        <w:rPr>
          <w:rFonts w:hint="eastAsia" w:ascii="仿宋" w:hAnsi="仿宋" w:eastAsia="仿宋" w:cs="仿宋"/>
          <w:color w:val="auto"/>
          <w:spacing w:val="80"/>
          <w:sz w:val="112"/>
          <w:szCs w:val="112"/>
          <w:highlight w:val="none"/>
          <w:lang w:eastAsia="zh-CN"/>
        </w:rPr>
        <w:t>响应文件</w:t>
      </w:r>
    </w:p>
    <w:p w14:paraId="367AB97B">
      <w:pPr>
        <w:spacing w:line="700" w:lineRule="exact"/>
        <w:rPr>
          <w:rFonts w:hint="eastAsia" w:ascii="仿宋" w:hAnsi="仿宋" w:eastAsia="仿宋" w:cs="仿宋"/>
          <w:color w:val="auto"/>
          <w:sz w:val="32"/>
          <w:highlight w:val="none"/>
        </w:rPr>
      </w:pPr>
    </w:p>
    <w:p w14:paraId="692440BA">
      <w:pPr>
        <w:spacing w:line="700" w:lineRule="exact"/>
        <w:jc w:val="center"/>
        <w:rPr>
          <w:rFonts w:hint="eastAsia" w:ascii="仿宋" w:hAnsi="仿宋" w:eastAsia="仿宋" w:cs="仿宋"/>
          <w:b/>
          <w:color w:val="auto"/>
          <w:sz w:val="36"/>
          <w:szCs w:val="36"/>
          <w:highlight w:val="none"/>
        </w:rPr>
      </w:pPr>
    </w:p>
    <w:p w14:paraId="094B63A1">
      <w:pPr>
        <w:pStyle w:val="9"/>
        <w:rPr>
          <w:rFonts w:hint="eastAsia"/>
        </w:rPr>
      </w:pPr>
    </w:p>
    <w:p w14:paraId="609EC29F">
      <w:pPr>
        <w:pStyle w:val="9"/>
        <w:rPr>
          <w:rFonts w:hint="eastAsia"/>
        </w:rPr>
      </w:pPr>
    </w:p>
    <w:p w14:paraId="22E7713B">
      <w:pPr>
        <w:pStyle w:val="9"/>
        <w:rPr>
          <w:rFonts w:hint="eastAsia"/>
        </w:rPr>
      </w:pPr>
    </w:p>
    <w:p w14:paraId="37FDEC57">
      <w:pPr>
        <w:pStyle w:val="9"/>
        <w:rPr>
          <w:rFonts w:hint="eastAsia"/>
        </w:rPr>
      </w:pPr>
    </w:p>
    <w:p w14:paraId="2CFCD03C">
      <w:pPr>
        <w:spacing w:line="700" w:lineRule="exact"/>
        <w:rPr>
          <w:rFonts w:hint="eastAsia" w:ascii="仿宋" w:hAnsi="仿宋" w:eastAsia="仿宋" w:cs="仿宋"/>
          <w:b/>
          <w:color w:val="auto"/>
          <w:sz w:val="36"/>
          <w:szCs w:val="36"/>
          <w:highlight w:val="none"/>
        </w:rPr>
      </w:pPr>
    </w:p>
    <w:p w14:paraId="0E5DEC4D">
      <w:pPr>
        <w:spacing w:line="700" w:lineRule="exact"/>
        <w:rPr>
          <w:rFonts w:hint="eastAsia" w:ascii="仿宋" w:hAnsi="仿宋" w:eastAsia="仿宋" w:cs="仿宋"/>
          <w:color w:val="auto"/>
          <w:sz w:val="36"/>
          <w:szCs w:val="36"/>
          <w:highlight w:val="none"/>
        </w:rPr>
      </w:pPr>
    </w:p>
    <w:p w14:paraId="4A12059C">
      <w:pPr>
        <w:spacing w:line="700" w:lineRule="exact"/>
        <w:rPr>
          <w:rFonts w:hint="eastAsia" w:ascii="仿宋" w:hAnsi="仿宋" w:eastAsia="仿宋" w:cs="仿宋"/>
          <w:color w:val="auto"/>
          <w:sz w:val="16"/>
          <w:szCs w:val="16"/>
          <w:highlight w:val="none"/>
        </w:rPr>
      </w:pPr>
      <w:r>
        <w:rPr>
          <w:rFonts w:hint="eastAsia" w:ascii="仿宋" w:hAnsi="仿宋" w:eastAsia="仿宋" w:cs="仿宋"/>
          <w:color w:val="auto"/>
          <w:sz w:val="36"/>
          <w:szCs w:val="36"/>
          <w:highlight w:val="none"/>
          <w:lang w:eastAsia="zh-CN"/>
        </w:rPr>
        <w:t>供应商</w:t>
      </w:r>
      <w:r>
        <w:rPr>
          <w:rFonts w:hint="eastAsia" w:ascii="仿宋" w:hAnsi="仿宋" w:eastAsia="仿宋" w:cs="仿宋"/>
          <w:color w:val="auto"/>
          <w:sz w:val="36"/>
          <w:szCs w:val="36"/>
          <w:highlight w:val="none"/>
        </w:rPr>
        <w:t>（公章）：</w:t>
      </w:r>
    </w:p>
    <w:p w14:paraId="498EBCD0">
      <w:pPr>
        <w:spacing w:line="720" w:lineRule="exact"/>
        <w:outlineLvl w:val="0"/>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地址：</w:t>
      </w:r>
    </w:p>
    <w:p w14:paraId="6664E08D">
      <w:pPr>
        <w:spacing w:line="720" w:lineRule="exact"/>
        <w:outlineLvl w:val="0"/>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法定代表人或授权代表（签字）：</w:t>
      </w:r>
    </w:p>
    <w:p w14:paraId="7B30AF22">
      <w:pPr>
        <w:pStyle w:val="7"/>
        <w:rPr>
          <w:rFonts w:hint="eastAsia" w:ascii="仿宋" w:hAnsi="仿宋" w:eastAsia="仿宋" w:cs="仿宋"/>
          <w:color w:val="auto"/>
          <w:highlight w:val="none"/>
        </w:rPr>
      </w:pPr>
      <w:r>
        <w:rPr>
          <w:rFonts w:hint="eastAsia" w:ascii="仿宋" w:hAnsi="仿宋" w:eastAsia="仿宋" w:cs="仿宋"/>
          <w:color w:val="auto"/>
          <w:sz w:val="36"/>
          <w:szCs w:val="36"/>
          <w:highlight w:val="none"/>
        </w:rPr>
        <w:t>联系电话：</w:t>
      </w:r>
    </w:p>
    <w:p w14:paraId="411121AA">
      <w:pPr>
        <w:spacing w:line="720" w:lineRule="exact"/>
        <w:jc w:val="center"/>
        <w:outlineLvl w:val="0"/>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二〇二</w:t>
      </w:r>
      <w:r>
        <w:rPr>
          <w:rFonts w:hint="eastAsia" w:ascii="仿宋" w:hAnsi="仿宋" w:eastAsia="仿宋" w:cs="仿宋"/>
          <w:color w:val="auto"/>
          <w:sz w:val="36"/>
          <w:szCs w:val="36"/>
          <w:highlight w:val="none"/>
          <w:lang w:val="en-US" w:eastAsia="zh-CN"/>
        </w:rPr>
        <w:t>六</w:t>
      </w:r>
      <w:r>
        <w:rPr>
          <w:rFonts w:hint="eastAsia" w:ascii="仿宋" w:hAnsi="仿宋" w:eastAsia="仿宋" w:cs="仿宋"/>
          <w:color w:val="auto"/>
          <w:sz w:val="36"/>
          <w:szCs w:val="36"/>
          <w:highlight w:val="none"/>
        </w:rPr>
        <w:t>年   月   日</w:t>
      </w:r>
    </w:p>
    <w:p w14:paraId="38D1D2C2">
      <w:pPr>
        <w:spacing w:line="360" w:lineRule="auto"/>
        <w:rPr>
          <w:rFonts w:hint="eastAsia" w:ascii="仿宋" w:hAnsi="仿宋" w:eastAsia="仿宋" w:cs="仿宋"/>
          <w:bCs/>
          <w:color w:val="auto"/>
          <w:sz w:val="24"/>
          <w:szCs w:val="24"/>
          <w:highlight w:val="none"/>
        </w:rPr>
      </w:pPr>
    </w:p>
    <w:p w14:paraId="0AE18307">
      <w:pPr>
        <w:rPr>
          <w:rFonts w:hint="eastAsia" w:ascii="仿宋" w:hAnsi="仿宋" w:eastAsia="仿宋" w:cs="仿宋"/>
          <w:color w:val="auto"/>
          <w:highlight w:val="none"/>
        </w:rPr>
      </w:pPr>
      <w:r>
        <w:rPr>
          <w:rFonts w:hint="eastAsia" w:ascii="仿宋" w:hAnsi="仿宋" w:eastAsia="仿宋" w:cs="仿宋"/>
          <w:color w:val="auto"/>
          <w:highlight w:val="none"/>
        </w:rPr>
        <w:br w:type="page"/>
      </w:r>
    </w:p>
    <w:p w14:paraId="19A34989">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54" w:name="_Toc5382"/>
      <w:r>
        <w:rPr>
          <w:rFonts w:hint="eastAsia" w:ascii="仿宋" w:hAnsi="仿宋" w:eastAsia="仿宋" w:cs="仿宋"/>
          <w:b/>
          <w:color w:val="auto"/>
          <w:kern w:val="2"/>
          <w:sz w:val="24"/>
          <w:szCs w:val="24"/>
          <w:lang w:val="en-US" w:eastAsia="zh-CN" w:bidi="ar-SA"/>
        </w:rPr>
        <w:t>一、经济</w:t>
      </w:r>
      <w:bookmarkEnd w:id="153"/>
      <w:r>
        <w:rPr>
          <w:rFonts w:hint="eastAsia" w:ascii="仿宋" w:hAnsi="仿宋" w:eastAsia="仿宋" w:cs="仿宋"/>
          <w:b/>
          <w:color w:val="auto"/>
          <w:kern w:val="2"/>
          <w:sz w:val="24"/>
          <w:szCs w:val="24"/>
          <w:lang w:val="en-US" w:eastAsia="zh-CN" w:bidi="ar-SA"/>
        </w:rPr>
        <w:t>部分</w:t>
      </w:r>
      <w:bookmarkEnd w:id="154"/>
    </w:p>
    <w:p w14:paraId="04E23EEF">
      <w:pPr>
        <w:snapToGrid w:val="0"/>
        <w:spacing w:line="500" w:lineRule="exact"/>
        <w:rPr>
          <w:rFonts w:hint="eastAsia" w:ascii="仿宋" w:hAnsi="仿宋" w:eastAsia="仿宋" w:cs="仿宋"/>
          <w:color w:val="auto"/>
          <w:sz w:val="24"/>
          <w:szCs w:val="44"/>
          <w:highlight w:val="none"/>
        </w:rPr>
      </w:pPr>
      <w:r>
        <w:rPr>
          <w:rFonts w:hint="eastAsia" w:ascii="仿宋" w:hAnsi="仿宋" w:eastAsia="仿宋" w:cs="仿宋"/>
          <w:color w:val="auto"/>
          <w:sz w:val="24"/>
          <w:szCs w:val="44"/>
          <w:highlight w:val="none"/>
        </w:rPr>
        <w:t>（一）比选报价函</w:t>
      </w:r>
    </w:p>
    <w:p w14:paraId="3C988CD3">
      <w:pPr>
        <w:snapToGrid w:val="0"/>
        <w:spacing w:line="500" w:lineRule="exact"/>
        <w:jc w:val="center"/>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比选报价函</w:t>
      </w:r>
    </w:p>
    <w:p w14:paraId="5F6F87F6">
      <w:pPr>
        <w:tabs>
          <w:tab w:val="left" w:pos="6300"/>
        </w:tabs>
        <w:snapToGrid w:val="0"/>
        <w:spacing w:line="5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（采购代理机构名称）</w:t>
      </w:r>
      <w:r>
        <w:rPr>
          <w:rFonts w:hint="eastAsia" w:ascii="仿宋" w:hAnsi="仿宋" w:eastAsia="仿宋" w:cs="仿宋"/>
          <w:color w:val="auto"/>
          <w:sz w:val="24"/>
          <w:szCs w:val="24"/>
          <w:highlight w:val="none"/>
        </w:rPr>
        <w:t>：</w:t>
      </w:r>
    </w:p>
    <w:p w14:paraId="18593815">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我方收到____________________________（项目名称）的竞争性比选文件，经详细研究，决定参加该项目的比选。</w:t>
      </w:r>
    </w:p>
    <w:p w14:paraId="5E845184">
      <w:pPr>
        <w:keepNext w:val="0"/>
        <w:keepLines w:val="0"/>
        <w:pageBreakBefore w:val="0"/>
        <w:widowControl w:val="0"/>
        <w:numPr>
          <w:ilvl w:val="0"/>
          <w:numId w:val="0"/>
        </w:numPr>
        <w:tabs>
          <w:tab w:val="left" w:pos="0"/>
          <w:tab w:val="left" w:pos="6300"/>
        </w:tabs>
        <w:kinsoku/>
        <w:wordWrap/>
        <w:overflowPunct/>
        <w:topLinePunct w:val="0"/>
        <w:autoSpaceDE/>
        <w:autoSpaceDN/>
        <w:bidi w:val="0"/>
        <w:adjustRightInd/>
        <w:snapToGrid w:val="0"/>
        <w:spacing w:line="400" w:lineRule="exact"/>
        <w:ind w:leftChars="191"/>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1、愿意按照竞争性比选文件中的一切要求，提供本项目的服务，报价为</w:t>
      </w:r>
      <w:r>
        <w:rPr>
          <w:rFonts w:hint="eastAsia" w:ascii="仿宋" w:hAnsi="仿宋" w:eastAsia="仿宋" w:cs="仿宋"/>
          <w:color w:val="auto"/>
          <w:sz w:val="24"/>
          <w:szCs w:val="24"/>
          <w:highlight w:val="none"/>
          <w:lang w:val="en-US" w:eastAsia="zh-CN"/>
        </w:rPr>
        <w:t>折扣报价</w:t>
      </w:r>
      <w:r>
        <w:rPr>
          <w:rFonts w:hint="eastAsia" w:ascii="仿宋" w:hAnsi="仿宋" w:eastAsia="仿宋" w:cs="仿宋"/>
          <w:color w:val="auto"/>
          <w:sz w:val="24"/>
          <w:szCs w:val="24"/>
          <w:highlight w:val="none"/>
          <w:u w:val="none"/>
        </w:rPr>
        <w:t>大写：</w:t>
      </w:r>
      <w:r>
        <w:rPr>
          <w:rFonts w:hint="eastAsia" w:ascii="仿宋" w:hAnsi="仿宋" w:eastAsia="仿宋" w:cs="仿宋"/>
          <w:color w:val="auto"/>
          <w:sz w:val="24"/>
          <w:szCs w:val="24"/>
          <w:highlight w:val="none"/>
          <w:u w:val="single"/>
          <w:lang w:val="en-US" w:eastAsia="zh-CN"/>
        </w:rPr>
        <w:t xml:space="preserve">百分之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折扣报价</w:t>
      </w:r>
      <w:r>
        <w:rPr>
          <w:rFonts w:hint="eastAsia" w:ascii="仿宋" w:hAnsi="仿宋" w:eastAsia="仿宋" w:cs="仿宋"/>
          <w:color w:val="auto"/>
          <w:sz w:val="24"/>
          <w:szCs w:val="24"/>
          <w:highlight w:val="none"/>
          <w:u w:val="none"/>
        </w:rPr>
        <w:t>小写：</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rPr>
        <w:t>。</w:t>
      </w:r>
    </w:p>
    <w:p w14:paraId="50479FA8">
      <w:pPr>
        <w:tabs>
          <w:tab w:val="left" w:pos="6300"/>
        </w:tabs>
        <w:snapToGrid w:val="0"/>
        <w:spacing w:line="520" w:lineRule="exact"/>
        <w:ind w:firstLine="480" w:firstLineChars="20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2、我方现提交的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正本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份，副本</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份，电子文档</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w:t>
      </w:r>
    </w:p>
    <w:p w14:paraId="15B58F88">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3、我方承诺：本次比选的有效期为90天。</w:t>
      </w:r>
    </w:p>
    <w:p w14:paraId="519DC9C6">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4、我方完全理解和接受贵方竞争性比选文件的一切规定和要求及评审办法。</w:t>
      </w:r>
    </w:p>
    <w:p w14:paraId="622E09D8">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5、在整个比选过程中，我方若有违规行为，接受按照《中华人民共和国政府采购法》和《比选文件》之规定给予惩罚。</w:t>
      </w:r>
    </w:p>
    <w:p w14:paraId="0509AFEE">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6、我方若成为</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，将按照最终比选结果签订合同，并且严格履行合同义务。本承诺函将成为合同不可分割的一部分，与合同具有同等的法律效力。</w:t>
      </w:r>
    </w:p>
    <w:p w14:paraId="52702F0F">
      <w:pPr>
        <w:tabs>
          <w:tab w:val="left" w:pos="6300"/>
        </w:tabs>
        <w:snapToGrid w:val="0"/>
        <w:spacing w:line="52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7、我方同意按竞争性比选文件规定，交纳竞争性比选文件要求的比选保证金。</w:t>
      </w:r>
    </w:p>
    <w:p w14:paraId="24A22818">
      <w:pPr>
        <w:tabs>
          <w:tab w:val="left" w:pos="6300"/>
        </w:tabs>
        <w:snapToGrid w:val="0"/>
        <w:spacing w:line="520" w:lineRule="exact"/>
        <w:ind w:firstLine="57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若我方</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，愿意按有关规定及</w:t>
      </w:r>
      <w:r>
        <w:rPr>
          <w:rFonts w:hint="eastAsia" w:ascii="仿宋" w:hAnsi="仿宋" w:eastAsia="仿宋" w:cs="仿宋"/>
          <w:color w:val="auto"/>
          <w:sz w:val="24"/>
          <w:szCs w:val="24"/>
          <w:highlight w:val="none"/>
          <w:lang w:val="en-US" w:eastAsia="zh-CN"/>
        </w:rPr>
        <w:t>比选</w:t>
      </w:r>
      <w:r>
        <w:rPr>
          <w:rFonts w:hint="eastAsia" w:ascii="仿宋" w:hAnsi="仿宋" w:eastAsia="仿宋" w:cs="仿宋"/>
          <w:color w:val="auto"/>
          <w:sz w:val="24"/>
          <w:szCs w:val="24"/>
          <w:highlight w:val="none"/>
        </w:rPr>
        <w:t>文件要求缴纳招标代理服务费</w:t>
      </w:r>
      <w:r>
        <w:rPr>
          <w:rFonts w:hint="eastAsia" w:ascii="仿宋" w:hAnsi="仿宋" w:eastAsia="仿宋" w:cs="仿宋"/>
          <w:color w:val="auto"/>
          <w:sz w:val="24"/>
          <w:szCs w:val="24"/>
          <w:highlight w:val="none"/>
          <w:lang w:eastAsia="zh-CN"/>
        </w:rPr>
        <w:t>。</w:t>
      </w:r>
    </w:p>
    <w:p w14:paraId="6086A989">
      <w:pPr>
        <w:tabs>
          <w:tab w:val="left" w:pos="6300"/>
        </w:tabs>
        <w:snapToGrid w:val="0"/>
        <w:spacing w:line="520" w:lineRule="exact"/>
        <w:ind w:firstLine="570"/>
        <w:rPr>
          <w:rFonts w:hint="eastAsia" w:ascii="仿宋" w:hAnsi="仿宋" w:eastAsia="仿宋" w:cs="仿宋"/>
          <w:color w:val="auto"/>
          <w:sz w:val="24"/>
          <w:szCs w:val="24"/>
          <w:highlight w:val="none"/>
        </w:rPr>
      </w:pPr>
    </w:p>
    <w:p w14:paraId="70D87BA5">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w:t>
      </w:r>
    </w:p>
    <w:p w14:paraId="13E52671">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w:t>
      </w:r>
    </w:p>
    <w:p w14:paraId="49006B1B">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电话：                                             传真：</w:t>
      </w:r>
    </w:p>
    <w:p w14:paraId="638EB9EB">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网址：                                             邮编：</w:t>
      </w:r>
    </w:p>
    <w:p w14:paraId="5C34BE72">
      <w:pPr>
        <w:tabs>
          <w:tab w:val="left" w:pos="6300"/>
        </w:tabs>
        <w:snapToGrid w:val="0"/>
        <w:spacing w:line="520" w:lineRule="exact"/>
        <w:ind w:firstLine="5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联系人：</w:t>
      </w:r>
    </w:p>
    <w:p w14:paraId="267B0FF2">
      <w:pPr>
        <w:tabs>
          <w:tab w:val="left" w:pos="6300"/>
        </w:tabs>
        <w:snapToGrid w:val="0"/>
        <w:spacing w:line="520" w:lineRule="exact"/>
        <w:ind w:firstLine="570"/>
        <w:rPr>
          <w:rFonts w:hint="eastAsia" w:ascii="仿宋" w:hAnsi="仿宋" w:eastAsia="仿宋" w:cs="仿宋"/>
          <w:color w:val="auto"/>
          <w:sz w:val="24"/>
          <w:szCs w:val="24"/>
          <w:highlight w:val="none"/>
        </w:rPr>
      </w:pPr>
    </w:p>
    <w:p w14:paraId="6F8AEEA7">
      <w:pPr>
        <w:snapToGrid w:val="0"/>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年   月   日</w:t>
      </w:r>
    </w:p>
    <w:p w14:paraId="7F645F92">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063930C3">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55" w:name="_Toc21697"/>
      <w:bookmarkStart w:id="156" w:name="_Toc313888362"/>
      <w:bookmarkStart w:id="157" w:name="_Toc342913421"/>
      <w:bookmarkStart w:id="158" w:name="_Toc439685512"/>
      <w:bookmarkStart w:id="159" w:name="_Toc313008358"/>
      <w:bookmarkStart w:id="160" w:name="_Toc429584885"/>
      <w:r>
        <w:rPr>
          <w:rFonts w:hint="eastAsia" w:ascii="仿宋" w:hAnsi="仿宋" w:eastAsia="仿宋" w:cs="仿宋"/>
          <w:b/>
          <w:color w:val="auto"/>
          <w:kern w:val="2"/>
          <w:sz w:val="24"/>
          <w:szCs w:val="24"/>
          <w:lang w:val="en-US" w:eastAsia="zh-CN" w:bidi="ar-SA"/>
        </w:rPr>
        <w:t>二、服务部分</w:t>
      </w:r>
      <w:bookmarkEnd w:id="155"/>
    </w:p>
    <w:p w14:paraId="1CA2F9E8">
      <w:pPr>
        <w:tabs>
          <w:tab w:val="left" w:pos="6300"/>
        </w:tabs>
        <w:snapToGrid w:val="0"/>
        <w:spacing w:line="400"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（一）服务方案（格式自定）</w:t>
      </w:r>
    </w:p>
    <w:p w14:paraId="5AF36BB3">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65CD27F9">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（二）服务响应偏离表</w:t>
      </w:r>
    </w:p>
    <w:p w14:paraId="194EFC16">
      <w:pPr>
        <w:spacing w:line="400" w:lineRule="exact"/>
        <w:ind w:firstLine="480" w:firstLineChars="200"/>
        <w:rPr>
          <w:rFonts w:hint="eastAsia" w:ascii="仿宋" w:hAnsi="仿宋" w:eastAsia="仿宋" w:cs="仿宋"/>
          <w:color w:val="auto"/>
          <w:sz w:val="24"/>
          <w:szCs w:val="24"/>
          <w:highlight w:val="none"/>
        </w:rPr>
      </w:pPr>
    </w:p>
    <w:p w14:paraId="325F89E3">
      <w:pPr>
        <w:ind w:firstLine="720" w:firstLineChars="200"/>
        <w:jc w:val="center"/>
        <w:rPr>
          <w:rFonts w:hint="eastAsia" w:ascii="仿宋" w:hAnsi="仿宋" w:eastAsia="仿宋" w:cs="仿宋"/>
          <w:color w:val="auto"/>
          <w:sz w:val="24"/>
          <w:szCs w:val="24"/>
          <w:highlight w:val="none"/>
        </w:rPr>
      </w:pPr>
      <w:r>
        <w:rPr>
          <w:rFonts w:hint="eastAsia" w:ascii="仿宋" w:hAnsi="仿宋" w:eastAsia="仿宋" w:cs="仿宋"/>
          <w:color w:val="auto"/>
          <w:sz w:val="36"/>
          <w:szCs w:val="36"/>
          <w:highlight w:val="none"/>
        </w:rPr>
        <w:t>服务响应偏离表</w:t>
      </w:r>
    </w:p>
    <w:p w14:paraId="595815D1">
      <w:pPr>
        <w:spacing w:line="40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采购执行编号：</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p>
    <w:p w14:paraId="59541F0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项目名称：                               </w:t>
      </w:r>
    </w:p>
    <w:tbl>
      <w:tblPr>
        <w:tblStyle w:val="24"/>
        <w:tblW w:w="86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822"/>
        <w:gridCol w:w="2759"/>
        <w:gridCol w:w="2067"/>
      </w:tblGrid>
      <w:tr w14:paraId="5404E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74" w:type="dxa"/>
            <w:vAlign w:val="center"/>
          </w:tcPr>
          <w:p w14:paraId="636F6555">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2822" w:type="dxa"/>
            <w:vAlign w:val="center"/>
          </w:tcPr>
          <w:p w14:paraId="5AE7780F">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采购需求</w:t>
            </w:r>
          </w:p>
        </w:tc>
        <w:tc>
          <w:tcPr>
            <w:tcW w:w="2759" w:type="dxa"/>
            <w:vAlign w:val="center"/>
          </w:tcPr>
          <w:p w14:paraId="12EACD7E">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响应情况</w:t>
            </w:r>
          </w:p>
        </w:tc>
        <w:tc>
          <w:tcPr>
            <w:tcW w:w="2067" w:type="dxa"/>
            <w:vAlign w:val="center"/>
          </w:tcPr>
          <w:p w14:paraId="3097C3AF">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偏离说明</w:t>
            </w:r>
          </w:p>
        </w:tc>
      </w:tr>
      <w:tr w14:paraId="37BB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069F57F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1D65547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795C50F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3E936F9F">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37A8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0697DC5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17935B91">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1772E30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7F9C614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4451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4A6BA32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031BF5AB">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7B88FDF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4DB69B7F">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1F50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7368CB1E">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780557E4">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138DE66A">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44E05CE6">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51E9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709A771C">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53E502B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60733AFE">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0AD13C5F">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6D8E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21B6CC2C">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1A3C816E">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446D68A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7FF5D3CE">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3404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722CCEB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3DB1FEF6">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476F4014">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1F89896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2A6D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74" w:type="dxa"/>
            <w:vAlign w:val="center"/>
          </w:tcPr>
          <w:p w14:paraId="3F469AE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822" w:type="dxa"/>
            <w:vAlign w:val="center"/>
          </w:tcPr>
          <w:p w14:paraId="0D05AF3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759" w:type="dxa"/>
            <w:vAlign w:val="center"/>
          </w:tcPr>
          <w:p w14:paraId="115AC01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067" w:type="dxa"/>
            <w:vAlign w:val="center"/>
          </w:tcPr>
          <w:p w14:paraId="4CA564E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bl>
    <w:p w14:paraId="5E003B96">
      <w:pPr>
        <w:spacing w:line="400" w:lineRule="exact"/>
        <w:ind w:firstLine="600" w:firstLineChars="2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                                       法人授权代表：</w:t>
      </w:r>
    </w:p>
    <w:p w14:paraId="24863E51">
      <w:pPr>
        <w:spacing w:line="400" w:lineRule="exact"/>
        <w:rPr>
          <w:rFonts w:hint="eastAsia" w:ascii="仿宋" w:hAnsi="仿宋" w:eastAsia="仿宋" w:cs="仿宋"/>
          <w:color w:val="auto"/>
          <w:sz w:val="24"/>
          <w:szCs w:val="24"/>
          <w:highlight w:val="none"/>
        </w:rPr>
      </w:pPr>
    </w:p>
    <w:p w14:paraId="3199B7DA">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                                      （签字或盖章）</w:t>
      </w:r>
    </w:p>
    <w:p w14:paraId="56C5172A">
      <w:pPr>
        <w:tabs>
          <w:tab w:val="left" w:pos="6300"/>
        </w:tabs>
        <w:snapToGrid w:val="0"/>
        <w:spacing w:line="400" w:lineRule="exact"/>
        <w:ind w:firstLine="7848" w:firstLineChars="32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54608CC5">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55904FDB">
      <w:pPr>
        <w:tabs>
          <w:tab w:val="left" w:pos="6300"/>
        </w:tabs>
        <w:snapToGrid w:val="0"/>
        <w:spacing w:line="400" w:lineRule="exact"/>
        <w:ind w:firstLine="480" w:firstLineChars="200"/>
        <w:rPr>
          <w:rFonts w:hint="default" w:ascii="仿宋" w:hAnsi="仿宋" w:eastAsia="仿宋" w:cs="仿宋"/>
          <w:color w:val="auto"/>
          <w:sz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highlight w:val="none"/>
        </w:rPr>
        <w:t xml:space="preserve">.本表即为对本项目“第二篇 </w:t>
      </w:r>
      <w:r>
        <w:rPr>
          <w:rFonts w:hint="eastAsia" w:ascii="仿宋" w:hAnsi="仿宋" w:eastAsia="仿宋" w:cs="仿宋"/>
          <w:color w:val="auto"/>
          <w:sz w:val="24"/>
          <w:highlight w:val="none"/>
          <w:lang w:val="en-US" w:eastAsia="zh-CN"/>
        </w:rPr>
        <w:t>项目服务需求</w:t>
      </w:r>
      <w:r>
        <w:rPr>
          <w:rFonts w:hint="eastAsia" w:ascii="仿宋" w:hAnsi="仿宋" w:eastAsia="仿宋" w:cs="仿宋"/>
          <w:color w:val="auto"/>
          <w:sz w:val="24"/>
          <w:highlight w:val="none"/>
        </w:rPr>
        <w:t>”中所列条款进行比较和响应；</w:t>
      </w:r>
    </w:p>
    <w:p w14:paraId="7DF89EC6">
      <w:pPr>
        <w:tabs>
          <w:tab w:val="left" w:pos="6300"/>
        </w:tabs>
        <w:snapToGrid w:val="0"/>
        <w:spacing w:line="4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2.该表可拓展。</w:t>
      </w:r>
    </w:p>
    <w:p w14:paraId="7682EE35">
      <w:pPr>
        <w:spacing w:line="400" w:lineRule="exact"/>
        <w:ind w:firstLine="600" w:firstLineChars="250"/>
        <w:rPr>
          <w:rFonts w:hint="eastAsia" w:ascii="仿宋" w:hAnsi="仿宋" w:eastAsia="仿宋" w:cs="仿宋"/>
          <w:color w:val="auto"/>
          <w:sz w:val="24"/>
          <w:szCs w:val="24"/>
          <w:highlight w:val="none"/>
        </w:rPr>
      </w:pPr>
    </w:p>
    <w:p w14:paraId="643EE0A6">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032ACBEA">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61" w:name="_Toc28922"/>
      <w:r>
        <w:rPr>
          <w:rFonts w:hint="eastAsia" w:ascii="仿宋" w:hAnsi="仿宋" w:eastAsia="仿宋" w:cs="仿宋"/>
          <w:b/>
          <w:color w:val="auto"/>
          <w:kern w:val="2"/>
          <w:sz w:val="24"/>
          <w:szCs w:val="24"/>
          <w:lang w:val="en-US" w:eastAsia="zh-CN" w:bidi="ar-SA"/>
        </w:rPr>
        <w:t>三、商务部分</w:t>
      </w:r>
      <w:bookmarkEnd w:id="156"/>
      <w:bookmarkEnd w:id="157"/>
      <w:bookmarkEnd w:id="158"/>
      <w:bookmarkEnd w:id="159"/>
      <w:bookmarkEnd w:id="161"/>
    </w:p>
    <w:p w14:paraId="49372528">
      <w:pPr>
        <w:spacing w:line="400" w:lineRule="exact"/>
        <w:ind w:firstLine="600" w:firstLineChars="2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）商务响应偏离表</w:t>
      </w:r>
    </w:p>
    <w:p w14:paraId="02627035">
      <w:pPr>
        <w:snapToGrid w:val="0"/>
        <w:jc w:val="center"/>
        <w:rPr>
          <w:rFonts w:hint="eastAsia" w:ascii="仿宋" w:hAnsi="仿宋" w:eastAsia="仿宋" w:cs="仿宋"/>
          <w:b/>
          <w:color w:val="auto"/>
          <w:sz w:val="36"/>
          <w:szCs w:val="36"/>
          <w:highlight w:val="none"/>
        </w:rPr>
      </w:pPr>
    </w:p>
    <w:p w14:paraId="40318373">
      <w:pPr>
        <w:snapToGrid w:val="0"/>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商务响应偏离表</w:t>
      </w:r>
    </w:p>
    <w:p w14:paraId="71C937EB">
      <w:pPr>
        <w:spacing w:line="400" w:lineRule="exact"/>
        <w:ind w:firstLine="480" w:firstLineChars="200"/>
        <w:rPr>
          <w:rFonts w:hint="eastAsia" w:ascii="仿宋" w:hAnsi="仿宋" w:eastAsia="仿宋" w:cs="仿宋"/>
          <w:color w:val="auto"/>
          <w:sz w:val="24"/>
          <w:szCs w:val="24"/>
          <w:highlight w:val="none"/>
        </w:rPr>
      </w:pPr>
    </w:p>
    <w:p w14:paraId="3CA636A7">
      <w:pPr>
        <w:spacing w:line="40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采购执行编号：</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p>
    <w:p w14:paraId="3BC2DFD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项目名称：    </w:t>
      </w:r>
    </w:p>
    <w:tbl>
      <w:tblPr>
        <w:tblStyle w:val="24"/>
        <w:tblW w:w="8932" w:type="dxa"/>
        <w:tblInd w:w="6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3312"/>
        <w:gridCol w:w="2434"/>
        <w:gridCol w:w="2355"/>
      </w:tblGrid>
      <w:tr w14:paraId="0D88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31" w:type="dxa"/>
            <w:vAlign w:val="center"/>
          </w:tcPr>
          <w:p w14:paraId="4D937E21">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312" w:type="dxa"/>
            <w:vAlign w:val="center"/>
          </w:tcPr>
          <w:p w14:paraId="7C11175D">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需求</w:t>
            </w:r>
          </w:p>
        </w:tc>
        <w:tc>
          <w:tcPr>
            <w:tcW w:w="2434" w:type="dxa"/>
            <w:vAlign w:val="center"/>
          </w:tcPr>
          <w:p w14:paraId="684D856E">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响应情况</w:t>
            </w:r>
          </w:p>
        </w:tc>
        <w:tc>
          <w:tcPr>
            <w:tcW w:w="2355" w:type="dxa"/>
            <w:vAlign w:val="center"/>
          </w:tcPr>
          <w:p w14:paraId="25B108A7">
            <w:pPr>
              <w:tabs>
                <w:tab w:val="left" w:pos="6300"/>
              </w:tabs>
              <w:snapToGrid w:val="0"/>
              <w:spacing w:line="400" w:lineRule="exact"/>
              <w:jc w:val="center"/>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偏离说明</w:t>
            </w:r>
          </w:p>
        </w:tc>
      </w:tr>
      <w:tr w14:paraId="35F6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31EE073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31E3FAA5">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5F139F2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76A327B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5466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022F7C15">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2DB061A1">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0F847E27">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5AD8BD28">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2940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621EA9D7">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11562FBC">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20EB627C">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13AFA693">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0D31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7406002B">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3D330411">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52694635">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6759AD82">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398A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534DCB4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53FFB10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15015CE7">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3FE57156">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r w14:paraId="1303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831" w:type="dxa"/>
            <w:vAlign w:val="center"/>
          </w:tcPr>
          <w:p w14:paraId="4B0066AB">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3312" w:type="dxa"/>
            <w:vAlign w:val="center"/>
          </w:tcPr>
          <w:p w14:paraId="4EB11AFD">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434" w:type="dxa"/>
            <w:vAlign w:val="center"/>
          </w:tcPr>
          <w:p w14:paraId="18439609">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c>
          <w:tcPr>
            <w:tcW w:w="2355" w:type="dxa"/>
            <w:vAlign w:val="center"/>
          </w:tcPr>
          <w:p w14:paraId="621B1BE0">
            <w:pPr>
              <w:tabs>
                <w:tab w:val="left" w:pos="6300"/>
              </w:tabs>
              <w:snapToGrid w:val="0"/>
              <w:spacing w:line="400" w:lineRule="exact"/>
              <w:jc w:val="center"/>
              <w:outlineLvl w:val="0"/>
              <w:rPr>
                <w:rFonts w:hint="eastAsia" w:ascii="仿宋" w:hAnsi="仿宋" w:eastAsia="仿宋" w:cs="仿宋"/>
                <w:color w:val="auto"/>
                <w:sz w:val="24"/>
                <w:szCs w:val="24"/>
                <w:highlight w:val="none"/>
              </w:rPr>
            </w:pPr>
          </w:p>
        </w:tc>
      </w:tr>
    </w:tbl>
    <w:p w14:paraId="66BBAE04">
      <w:pPr>
        <w:snapToGrid w:val="0"/>
        <w:spacing w:line="400" w:lineRule="exact"/>
        <w:ind w:firstLine="465"/>
        <w:rPr>
          <w:rFonts w:hint="eastAsia" w:ascii="仿宋" w:hAnsi="仿宋" w:eastAsia="仿宋" w:cs="仿宋"/>
          <w:color w:val="auto"/>
          <w:sz w:val="24"/>
          <w:szCs w:val="24"/>
          <w:highlight w:val="none"/>
        </w:rPr>
      </w:pPr>
    </w:p>
    <w:p w14:paraId="466EA924">
      <w:pPr>
        <w:spacing w:line="400" w:lineRule="exact"/>
        <w:ind w:firstLine="600" w:firstLineChars="2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                                             法人授权代表：</w:t>
      </w:r>
    </w:p>
    <w:p w14:paraId="429C613D">
      <w:pPr>
        <w:spacing w:line="400" w:lineRule="exact"/>
        <w:rPr>
          <w:rFonts w:hint="eastAsia" w:ascii="仿宋" w:hAnsi="仿宋" w:eastAsia="仿宋" w:cs="仿宋"/>
          <w:color w:val="auto"/>
          <w:sz w:val="24"/>
          <w:szCs w:val="24"/>
          <w:highlight w:val="none"/>
        </w:rPr>
      </w:pPr>
    </w:p>
    <w:p w14:paraId="46077223">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                                      （签字或盖章）</w:t>
      </w:r>
    </w:p>
    <w:p w14:paraId="21AD5CA5">
      <w:pPr>
        <w:tabs>
          <w:tab w:val="left" w:pos="6300"/>
        </w:tabs>
        <w:snapToGrid w:val="0"/>
        <w:spacing w:line="400" w:lineRule="exact"/>
        <w:ind w:firstLine="7848" w:firstLineChars="327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406942E2">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422D0480">
      <w:pPr>
        <w:tabs>
          <w:tab w:val="left" w:pos="6300"/>
        </w:tabs>
        <w:snapToGrid w:val="0"/>
        <w:spacing w:line="40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highlight w:val="none"/>
        </w:rPr>
        <w:t>.本表即为对本项目“第</w:t>
      </w: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rPr>
        <w:t xml:space="preserve">篇 </w:t>
      </w:r>
      <w:r>
        <w:rPr>
          <w:rFonts w:hint="eastAsia" w:ascii="仿宋" w:hAnsi="仿宋" w:eastAsia="仿宋" w:cs="仿宋"/>
          <w:color w:val="auto"/>
          <w:sz w:val="24"/>
          <w:highlight w:val="none"/>
          <w:lang w:val="en-US" w:eastAsia="zh-CN"/>
        </w:rPr>
        <w:t>项目商务需求</w:t>
      </w:r>
      <w:r>
        <w:rPr>
          <w:rFonts w:hint="eastAsia" w:ascii="仿宋" w:hAnsi="仿宋" w:eastAsia="仿宋" w:cs="仿宋"/>
          <w:color w:val="auto"/>
          <w:sz w:val="24"/>
          <w:highlight w:val="none"/>
        </w:rPr>
        <w:t>”中所列条款进行比较和响应；</w:t>
      </w:r>
    </w:p>
    <w:p w14:paraId="404A52C1">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2.该表可拓展</w:t>
      </w:r>
    </w:p>
    <w:p w14:paraId="1E21EA92">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303B07BE">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）商务评分需提供的资料（格式自定）</w:t>
      </w:r>
    </w:p>
    <w:p w14:paraId="194BDB20">
      <w:pPr>
        <w:spacing w:line="320" w:lineRule="atLeast"/>
        <w:ind w:firstLine="480" w:firstLineChars="200"/>
        <w:jc w:val="right"/>
        <w:rPr>
          <w:rFonts w:hint="eastAsia" w:ascii="仿宋" w:hAnsi="仿宋" w:eastAsia="仿宋" w:cs="仿宋"/>
          <w:color w:val="auto"/>
          <w:sz w:val="24"/>
          <w:szCs w:val="24"/>
          <w:highlight w:val="none"/>
        </w:rPr>
      </w:pPr>
    </w:p>
    <w:p w14:paraId="09ECF1A7">
      <w:pPr>
        <w:spacing w:line="360" w:lineRule="auto"/>
        <w:ind w:firstLine="480" w:firstLineChars="200"/>
        <w:rPr>
          <w:rFonts w:hint="eastAsia" w:ascii="仿宋" w:hAnsi="仿宋" w:eastAsia="仿宋" w:cs="仿宋"/>
          <w:color w:val="auto"/>
          <w:sz w:val="24"/>
          <w:szCs w:val="24"/>
          <w:highlight w:val="none"/>
        </w:rPr>
        <w:sectPr>
          <w:headerReference r:id="rId9" w:type="default"/>
          <w:type w:val="nextColumn"/>
          <w:pgSz w:w="11907" w:h="16840"/>
          <w:pgMar w:top="1134" w:right="1134" w:bottom="1134" w:left="1134" w:header="851" w:footer="992" w:gutter="0"/>
          <w:pgNumType w:fmt="numberInDash"/>
          <w:cols w:space="720" w:num="1"/>
          <w:docGrid w:linePitch="380" w:charSpace="-5735"/>
        </w:sectPr>
      </w:pPr>
    </w:p>
    <w:bookmarkEnd w:id="160"/>
    <w:p w14:paraId="6CC6EE8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b/>
          <w:color w:val="auto"/>
          <w:kern w:val="2"/>
          <w:sz w:val="24"/>
          <w:szCs w:val="24"/>
          <w:lang w:val="en-US" w:eastAsia="zh-CN" w:bidi="ar-SA"/>
        </w:rPr>
      </w:pPr>
      <w:bookmarkStart w:id="162" w:name="_Toc342913422"/>
      <w:bookmarkStart w:id="163" w:name="_Toc1413"/>
      <w:bookmarkStart w:id="164" w:name="_Toc506310400"/>
      <w:bookmarkStart w:id="165" w:name="_Toc313008359"/>
      <w:bookmarkStart w:id="166" w:name="_Toc313888363"/>
      <w:r>
        <w:rPr>
          <w:rFonts w:hint="eastAsia" w:ascii="仿宋" w:hAnsi="仿宋" w:eastAsia="仿宋" w:cs="仿宋"/>
          <w:b/>
          <w:color w:val="auto"/>
          <w:kern w:val="2"/>
          <w:sz w:val="24"/>
          <w:szCs w:val="24"/>
          <w:lang w:val="en-US" w:eastAsia="zh-CN" w:bidi="ar-SA"/>
        </w:rPr>
        <w:t>四、资格条件及其他</w:t>
      </w:r>
      <w:bookmarkEnd w:id="162"/>
      <w:bookmarkEnd w:id="163"/>
      <w:bookmarkEnd w:id="164"/>
      <w:bookmarkEnd w:id="165"/>
      <w:bookmarkEnd w:id="166"/>
    </w:p>
    <w:p w14:paraId="6009410F">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法人营业执照（副本）或事业单位法人证书（副本）或个体工商户营业执照或有效的自然人身份证明或社会团体法人登记证书（提供复印件）</w:t>
      </w:r>
    </w:p>
    <w:p w14:paraId="7C452495">
      <w:pPr>
        <w:spacing w:line="400" w:lineRule="exact"/>
        <w:rPr>
          <w:rFonts w:hint="eastAsia" w:ascii="仿宋" w:hAnsi="仿宋" w:eastAsia="仿宋" w:cs="仿宋"/>
          <w:color w:val="auto"/>
          <w:sz w:val="24"/>
          <w:szCs w:val="24"/>
          <w:highlight w:val="none"/>
        </w:rPr>
      </w:pPr>
    </w:p>
    <w:p w14:paraId="64499A71">
      <w:pPr>
        <w:spacing w:line="400" w:lineRule="exact"/>
        <w:rPr>
          <w:rFonts w:hint="eastAsia" w:ascii="仿宋" w:hAnsi="仿宋" w:eastAsia="仿宋" w:cs="仿宋"/>
          <w:color w:val="auto"/>
          <w:sz w:val="24"/>
          <w:szCs w:val="24"/>
          <w:highlight w:val="none"/>
        </w:rPr>
      </w:pPr>
    </w:p>
    <w:p w14:paraId="17D75755">
      <w:pPr>
        <w:spacing w:line="400" w:lineRule="exact"/>
        <w:rPr>
          <w:rFonts w:hint="eastAsia" w:ascii="仿宋" w:hAnsi="仿宋" w:eastAsia="仿宋" w:cs="仿宋"/>
          <w:color w:val="auto"/>
          <w:sz w:val="24"/>
          <w:szCs w:val="24"/>
          <w:highlight w:val="none"/>
        </w:rPr>
      </w:pPr>
    </w:p>
    <w:p w14:paraId="063F3AE1">
      <w:pPr>
        <w:spacing w:line="400" w:lineRule="exact"/>
        <w:rPr>
          <w:rFonts w:hint="eastAsia" w:ascii="仿宋" w:hAnsi="仿宋" w:eastAsia="仿宋" w:cs="仿宋"/>
          <w:color w:val="auto"/>
          <w:sz w:val="24"/>
          <w:szCs w:val="24"/>
          <w:highlight w:val="none"/>
        </w:rPr>
      </w:pPr>
    </w:p>
    <w:p w14:paraId="6915F2CF">
      <w:pPr>
        <w:spacing w:line="400" w:lineRule="exact"/>
        <w:rPr>
          <w:rFonts w:hint="eastAsia" w:ascii="仿宋" w:hAnsi="仿宋" w:eastAsia="仿宋" w:cs="仿宋"/>
          <w:color w:val="auto"/>
          <w:sz w:val="24"/>
          <w:szCs w:val="24"/>
          <w:highlight w:val="none"/>
        </w:rPr>
      </w:pPr>
    </w:p>
    <w:p w14:paraId="7C8AC4EF">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r>
        <w:rPr>
          <w:rFonts w:hint="eastAsia" w:ascii="仿宋" w:hAnsi="仿宋" w:eastAsia="仿宋" w:cs="仿宋"/>
          <w:color w:val="auto"/>
          <w:sz w:val="24"/>
          <w:szCs w:val="24"/>
          <w:highlight w:val="none"/>
        </w:rPr>
        <w:t>（二）法定代表人身份证明书（格式）</w:t>
      </w:r>
    </w:p>
    <w:p w14:paraId="66D00C41">
      <w:pPr>
        <w:spacing w:line="400" w:lineRule="exact"/>
        <w:rPr>
          <w:rFonts w:hint="eastAsia" w:ascii="仿宋" w:hAnsi="仿宋" w:eastAsia="仿宋" w:cs="仿宋"/>
          <w:color w:val="auto"/>
          <w:sz w:val="24"/>
          <w:szCs w:val="24"/>
          <w:highlight w:val="none"/>
        </w:rPr>
      </w:pPr>
    </w:p>
    <w:p w14:paraId="0283D3DD">
      <w:pPr>
        <w:spacing w:line="40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法定代表人身份证明书</w:t>
      </w:r>
    </w:p>
    <w:p w14:paraId="5D3CF3B8">
      <w:pPr>
        <w:spacing w:line="400" w:lineRule="exact"/>
        <w:rPr>
          <w:rFonts w:hint="eastAsia" w:ascii="仿宋" w:hAnsi="仿宋" w:eastAsia="仿宋" w:cs="仿宋"/>
          <w:color w:val="auto"/>
          <w:sz w:val="24"/>
          <w:szCs w:val="24"/>
          <w:highlight w:val="none"/>
        </w:rPr>
      </w:pPr>
    </w:p>
    <w:p w14:paraId="5A60CA54">
      <w:pPr>
        <w:spacing w:line="400" w:lineRule="exact"/>
        <w:rPr>
          <w:rFonts w:hint="eastAsia" w:ascii="仿宋" w:hAnsi="仿宋" w:eastAsia="仿宋" w:cs="仿宋"/>
          <w:color w:val="auto"/>
          <w:sz w:val="24"/>
          <w:szCs w:val="24"/>
          <w:highlight w:val="none"/>
        </w:rPr>
      </w:pPr>
    </w:p>
    <w:p w14:paraId="5611ECEA">
      <w:pPr>
        <w:spacing w:line="40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比选项目名称：</w:t>
      </w:r>
      <w:r>
        <w:rPr>
          <w:rFonts w:hint="eastAsia" w:ascii="仿宋" w:hAnsi="仿宋" w:eastAsia="仿宋" w:cs="仿宋"/>
          <w:color w:val="auto"/>
          <w:sz w:val="24"/>
          <w:szCs w:val="24"/>
          <w:highlight w:val="none"/>
          <w:u w:val="single"/>
        </w:rPr>
        <w:t xml:space="preserve">                                            </w:t>
      </w:r>
    </w:p>
    <w:p w14:paraId="3C3E03F0">
      <w:pPr>
        <w:spacing w:line="400" w:lineRule="exact"/>
        <w:rPr>
          <w:rFonts w:hint="eastAsia" w:ascii="仿宋" w:hAnsi="仿宋" w:eastAsia="仿宋" w:cs="仿宋"/>
          <w:color w:val="auto"/>
          <w:sz w:val="24"/>
          <w:szCs w:val="24"/>
          <w:highlight w:val="none"/>
        </w:rPr>
      </w:pPr>
    </w:p>
    <w:p w14:paraId="5D3D4D8D">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（采购代理机构名称）：</w:t>
      </w:r>
    </w:p>
    <w:p w14:paraId="7A645CA4">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531FC916">
      <w:pPr>
        <w:spacing w:line="40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 xml:space="preserve">（法定代表人姓名）在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名称）任</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（职务名称）职务，是</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名称）的法定代表人。</w:t>
      </w:r>
    </w:p>
    <w:p w14:paraId="531DD205">
      <w:pPr>
        <w:spacing w:line="400" w:lineRule="exact"/>
        <w:rPr>
          <w:rFonts w:hint="eastAsia" w:ascii="仿宋" w:hAnsi="仿宋" w:eastAsia="仿宋" w:cs="仿宋"/>
          <w:color w:val="auto"/>
          <w:sz w:val="24"/>
          <w:szCs w:val="24"/>
          <w:highlight w:val="none"/>
        </w:rPr>
      </w:pPr>
    </w:p>
    <w:p w14:paraId="3A818F0E">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14:paraId="313059D2">
      <w:pPr>
        <w:spacing w:line="400" w:lineRule="exact"/>
        <w:rPr>
          <w:rFonts w:hint="eastAsia" w:ascii="仿宋" w:hAnsi="仿宋" w:eastAsia="仿宋" w:cs="仿宋"/>
          <w:color w:val="auto"/>
          <w:sz w:val="24"/>
          <w:szCs w:val="24"/>
          <w:highlight w:val="none"/>
        </w:rPr>
      </w:pPr>
    </w:p>
    <w:p w14:paraId="36D7C10C">
      <w:pPr>
        <w:spacing w:line="400" w:lineRule="exact"/>
        <w:rPr>
          <w:rFonts w:hint="eastAsia" w:ascii="仿宋" w:hAnsi="仿宋" w:eastAsia="仿宋" w:cs="仿宋"/>
          <w:color w:val="auto"/>
          <w:sz w:val="24"/>
          <w:szCs w:val="24"/>
          <w:highlight w:val="none"/>
        </w:rPr>
      </w:pPr>
    </w:p>
    <w:p w14:paraId="35D40FA6">
      <w:pPr>
        <w:spacing w:line="400" w:lineRule="exact"/>
        <w:rPr>
          <w:rFonts w:hint="eastAsia" w:ascii="仿宋" w:hAnsi="仿宋" w:eastAsia="仿宋" w:cs="仿宋"/>
          <w:color w:val="auto"/>
          <w:sz w:val="24"/>
          <w:szCs w:val="24"/>
          <w:highlight w:val="none"/>
        </w:rPr>
      </w:pPr>
    </w:p>
    <w:p w14:paraId="54C27857">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w:t>
      </w:r>
    </w:p>
    <w:p w14:paraId="4BBE8506">
      <w:pPr>
        <w:spacing w:line="400" w:lineRule="exact"/>
        <w:rPr>
          <w:rFonts w:hint="eastAsia" w:ascii="仿宋" w:hAnsi="仿宋" w:eastAsia="仿宋" w:cs="仿宋"/>
          <w:color w:val="auto"/>
          <w:sz w:val="24"/>
          <w:szCs w:val="24"/>
          <w:highlight w:val="none"/>
        </w:rPr>
      </w:pPr>
    </w:p>
    <w:p w14:paraId="65A7324E">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年   月   日</w:t>
      </w:r>
    </w:p>
    <w:p w14:paraId="753939EE">
      <w:pPr>
        <w:tabs>
          <w:tab w:val="left" w:pos="6300"/>
        </w:tabs>
        <w:snapToGrid w:val="0"/>
        <w:spacing w:line="500" w:lineRule="exact"/>
        <w:ind w:firstLine="570"/>
        <w:rPr>
          <w:rFonts w:hint="eastAsia" w:ascii="仿宋" w:hAnsi="仿宋" w:eastAsia="仿宋" w:cs="仿宋"/>
          <w:sz w:val="24"/>
          <w:highlight w:val="none"/>
        </w:rPr>
      </w:pPr>
      <w:r>
        <w:rPr>
          <w:rFonts w:hint="eastAsia" w:ascii="仿宋" w:hAnsi="仿宋" w:eastAsia="仿宋" w:cs="仿宋"/>
          <w:sz w:val="24"/>
          <w:highlight w:val="none"/>
        </w:rPr>
        <w:t>法定代表人电话：XXXXXXX      电子邮箱：XXXXXX@XXXXX（若授权他人办理并签署</w:t>
      </w:r>
      <w:r>
        <w:rPr>
          <w:rFonts w:hint="eastAsia" w:ascii="仿宋" w:hAnsi="仿宋" w:eastAsia="仿宋" w:cs="仿宋"/>
          <w:sz w:val="24"/>
          <w:highlight w:val="none"/>
          <w:lang w:eastAsia="zh-CN"/>
        </w:rPr>
        <w:t>响应文件</w:t>
      </w:r>
      <w:r>
        <w:rPr>
          <w:rFonts w:hint="eastAsia" w:ascii="仿宋" w:hAnsi="仿宋" w:eastAsia="仿宋" w:cs="仿宋"/>
          <w:sz w:val="24"/>
          <w:highlight w:val="none"/>
        </w:rPr>
        <w:t>的可不填写）</w:t>
      </w:r>
    </w:p>
    <w:p w14:paraId="3F1E28BA">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（附：法定代表人身份证正反面复印件）</w:t>
      </w:r>
    </w:p>
    <w:p w14:paraId="2562D509">
      <w:pPr>
        <w:spacing w:line="400" w:lineRule="exact"/>
        <w:rPr>
          <w:rFonts w:hint="eastAsia" w:ascii="仿宋" w:hAnsi="仿宋" w:eastAsia="仿宋" w:cs="仿宋"/>
          <w:color w:val="auto"/>
          <w:sz w:val="24"/>
          <w:szCs w:val="24"/>
          <w:highlight w:val="none"/>
        </w:rPr>
      </w:pPr>
    </w:p>
    <w:p w14:paraId="05D0B2A9">
      <w:pPr>
        <w:spacing w:line="400" w:lineRule="exact"/>
        <w:rPr>
          <w:rFonts w:hint="eastAsia" w:ascii="仿宋" w:hAnsi="仿宋" w:eastAsia="仿宋" w:cs="仿宋"/>
          <w:color w:val="auto"/>
          <w:sz w:val="24"/>
          <w:szCs w:val="24"/>
          <w:highlight w:val="none"/>
        </w:rPr>
      </w:pPr>
    </w:p>
    <w:p w14:paraId="7473EE84">
      <w:pPr>
        <w:spacing w:line="400" w:lineRule="exact"/>
        <w:rPr>
          <w:rFonts w:hint="eastAsia" w:ascii="仿宋" w:hAnsi="仿宋" w:eastAsia="仿宋" w:cs="仿宋"/>
          <w:color w:val="auto"/>
          <w:sz w:val="24"/>
          <w:szCs w:val="24"/>
          <w:highlight w:val="none"/>
        </w:rPr>
      </w:pPr>
    </w:p>
    <w:p w14:paraId="233A4439">
      <w:pPr>
        <w:spacing w:line="400" w:lineRule="exact"/>
        <w:rPr>
          <w:rFonts w:hint="eastAsia" w:ascii="仿宋" w:hAnsi="仿宋" w:eastAsia="仿宋" w:cs="仿宋"/>
          <w:color w:val="auto"/>
          <w:sz w:val="24"/>
          <w:szCs w:val="24"/>
          <w:highlight w:val="none"/>
        </w:rPr>
      </w:pPr>
    </w:p>
    <w:p w14:paraId="20547629">
      <w:pPr>
        <w:spacing w:line="400" w:lineRule="exact"/>
        <w:rPr>
          <w:rFonts w:hint="eastAsia" w:ascii="仿宋" w:hAnsi="仿宋" w:eastAsia="仿宋" w:cs="仿宋"/>
          <w:color w:val="auto"/>
          <w:sz w:val="24"/>
          <w:szCs w:val="24"/>
          <w:highlight w:val="none"/>
        </w:rPr>
      </w:pPr>
    </w:p>
    <w:p w14:paraId="63DA4541">
      <w:pPr>
        <w:spacing w:line="400" w:lineRule="exact"/>
        <w:rPr>
          <w:rFonts w:hint="eastAsia" w:ascii="仿宋" w:hAnsi="仿宋" w:eastAsia="仿宋" w:cs="仿宋"/>
          <w:color w:val="auto"/>
          <w:sz w:val="24"/>
          <w:szCs w:val="24"/>
          <w:highlight w:val="none"/>
        </w:rPr>
      </w:pPr>
    </w:p>
    <w:p w14:paraId="05886DCE">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column"/>
      </w:r>
      <w:r>
        <w:rPr>
          <w:rFonts w:hint="eastAsia" w:ascii="仿宋" w:hAnsi="仿宋" w:eastAsia="仿宋" w:cs="仿宋"/>
          <w:color w:val="auto"/>
          <w:sz w:val="24"/>
          <w:szCs w:val="24"/>
          <w:highlight w:val="none"/>
        </w:rPr>
        <w:t>（三）法定代表人授权委托书（格式）</w:t>
      </w:r>
    </w:p>
    <w:p w14:paraId="3D8F1C6C">
      <w:pPr>
        <w:spacing w:line="400" w:lineRule="exact"/>
        <w:rPr>
          <w:rFonts w:hint="eastAsia" w:ascii="仿宋" w:hAnsi="仿宋" w:eastAsia="仿宋" w:cs="仿宋"/>
          <w:color w:val="auto"/>
          <w:sz w:val="24"/>
          <w:szCs w:val="24"/>
          <w:highlight w:val="none"/>
        </w:rPr>
      </w:pPr>
    </w:p>
    <w:p w14:paraId="6DF2431A">
      <w:pPr>
        <w:spacing w:line="40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法定代表人授权委托书</w:t>
      </w:r>
    </w:p>
    <w:p w14:paraId="26E7BBCB">
      <w:pPr>
        <w:spacing w:line="400" w:lineRule="exact"/>
        <w:rPr>
          <w:rFonts w:hint="eastAsia" w:ascii="仿宋" w:hAnsi="仿宋" w:eastAsia="仿宋" w:cs="仿宋"/>
          <w:color w:val="auto"/>
          <w:sz w:val="24"/>
          <w:szCs w:val="24"/>
          <w:highlight w:val="none"/>
        </w:rPr>
      </w:pPr>
    </w:p>
    <w:p w14:paraId="681FB625">
      <w:pPr>
        <w:spacing w:line="400" w:lineRule="exact"/>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比选项目名称：</w:t>
      </w:r>
      <w:r>
        <w:rPr>
          <w:rFonts w:hint="eastAsia" w:ascii="仿宋" w:hAnsi="仿宋" w:eastAsia="仿宋" w:cs="仿宋"/>
          <w:color w:val="auto"/>
          <w:sz w:val="24"/>
          <w:szCs w:val="24"/>
          <w:highlight w:val="none"/>
          <w:u w:val="single"/>
        </w:rPr>
        <w:t xml:space="preserve">                                            </w:t>
      </w:r>
    </w:p>
    <w:p w14:paraId="571CDC78">
      <w:pPr>
        <w:spacing w:line="400" w:lineRule="exact"/>
        <w:rPr>
          <w:rFonts w:hint="eastAsia" w:ascii="仿宋" w:hAnsi="仿宋" w:eastAsia="仿宋" w:cs="仿宋"/>
          <w:color w:val="auto"/>
          <w:sz w:val="24"/>
          <w:szCs w:val="24"/>
          <w:highlight w:val="none"/>
        </w:rPr>
      </w:pPr>
    </w:p>
    <w:p w14:paraId="1DE41B94">
      <w:pPr>
        <w:spacing w:line="400" w:lineRule="exact"/>
        <w:rPr>
          <w:rFonts w:hint="eastAsia" w:ascii="仿宋" w:hAnsi="仿宋" w:eastAsia="仿宋" w:cs="仿宋"/>
          <w:color w:val="auto"/>
          <w:sz w:val="24"/>
          <w:szCs w:val="24"/>
          <w:highlight w:val="none"/>
        </w:rPr>
      </w:pPr>
    </w:p>
    <w:p w14:paraId="3A41FFE3">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（采购代理机构名称）：</w:t>
      </w:r>
    </w:p>
    <w:p w14:paraId="6861F0D6">
      <w:pPr>
        <w:spacing w:line="400" w:lineRule="exact"/>
        <w:rPr>
          <w:rFonts w:hint="eastAsia" w:ascii="仿宋" w:hAnsi="仿宋" w:eastAsia="仿宋" w:cs="仿宋"/>
          <w:color w:val="auto"/>
          <w:sz w:val="24"/>
          <w:szCs w:val="24"/>
          <w:highlight w:val="none"/>
          <w:u w:val="single"/>
        </w:rPr>
      </w:pPr>
    </w:p>
    <w:p w14:paraId="33160894">
      <w:pPr>
        <w:spacing w:line="40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法定代表人名称）是</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 xml:space="preserve">名称）的法定代表人，特授权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（被授权人姓名及身份证号码）代表我单位全权办理上述项目的比选、签约等具体工作，并签署全部有关文件、协议及合同。</w:t>
      </w:r>
    </w:p>
    <w:p w14:paraId="71CB1DD4">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我单位对被授权人的签字负全部责任。</w:t>
      </w:r>
    </w:p>
    <w:p w14:paraId="17A83B61">
      <w:pPr>
        <w:spacing w:line="40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在撤消授权的书面通知以前，本授权书一直有效。被授权人在授权书有效期内签署的所有文件不因授权的撤消而失效。</w:t>
      </w:r>
    </w:p>
    <w:p w14:paraId="52AB0F6C">
      <w:pPr>
        <w:spacing w:line="400" w:lineRule="exact"/>
        <w:rPr>
          <w:rFonts w:hint="eastAsia" w:ascii="仿宋" w:hAnsi="仿宋" w:eastAsia="仿宋" w:cs="仿宋"/>
          <w:color w:val="auto"/>
          <w:sz w:val="24"/>
          <w:szCs w:val="24"/>
          <w:highlight w:val="none"/>
        </w:rPr>
      </w:pPr>
    </w:p>
    <w:p w14:paraId="4D902846">
      <w:pPr>
        <w:spacing w:line="400" w:lineRule="exact"/>
        <w:rPr>
          <w:rFonts w:hint="eastAsia" w:ascii="仿宋" w:hAnsi="仿宋" w:eastAsia="仿宋" w:cs="仿宋"/>
          <w:color w:val="auto"/>
          <w:sz w:val="24"/>
          <w:szCs w:val="24"/>
          <w:highlight w:val="none"/>
        </w:rPr>
      </w:pPr>
    </w:p>
    <w:p w14:paraId="6EC7286A">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被授权人：                                 </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法定代表人：</w:t>
      </w:r>
    </w:p>
    <w:p w14:paraId="1896B31B">
      <w:pPr>
        <w:spacing w:line="400" w:lineRule="exact"/>
        <w:rPr>
          <w:rFonts w:hint="eastAsia" w:ascii="仿宋" w:hAnsi="仿宋" w:eastAsia="仿宋" w:cs="仿宋"/>
          <w:color w:val="auto"/>
          <w:sz w:val="24"/>
          <w:szCs w:val="24"/>
          <w:highlight w:val="none"/>
        </w:rPr>
      </w:pPr>
    </w:p>
    <w:p w14:paraId="623D2D78">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（签字或盖章）                                （签字或盖章）</w:t>
      </w:r>
    </w:p>
    <w:p w14:paraId="369ED8D2">
      <w:pPr>
        <w:spacing w:line="400" w:lineRule="exact"/>
        <w:rPr>
          <w:rFonts w:hint="eastAsia" w:ascii="仿宋" w:hAnsi="仿宋" w:eastAsia="仿宋" w:cs="仿宋"/>
          <w:color w:val="auto"/>
          <w:sz w:val="24"/>
          <w:szCs w:val="24"/>
          <w:highlight w:val="none"/>
        </w:rPr>
      </w:pPr>
    </w:p>
    <w:p w14:paraId="265EBC6D">
      <w:pPr>
        <w:spacing w:line="400" w:lineRule="exact"/>
        <w:rPr>
          <w:rFonts w:hint="eastAsia" w:ascii="仿宋" w:hAnsi="仿宋" w:eastAsia="仿宋" w:cs="仿宋"/>
          <w:color w:val="auto"/>
          <w:sz w:val="24"/>
          <w:szCs w:val="24"/>
          <w:highlight w:val="none"/>
        </w:rPr>
      </w:pPr>
    </w:p>
    <w:p w14:paraId="2C8435AD">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（附：被授权人身份证正反面复印件）</w:t>
      </w:r>
    </w:p>
    <w:p w14:paraId="0B9F90BF">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789BAF33">
      <w:pPr>
        <w:spacing w:line="400" w:lineRule="exact"/>
        <w:rPr>
          <w:rFonts w:hint="eastAsia" w:ascii="仿宋" w:hAnsi="仿宋" w:eastAsia="仿宋" w:cs="仿宋"/>
          <w:color w:val="auto"/>
          <w:sz w:val="24"/>
          <w:szCs w:val="24"/>
          <w:highlight w:val="none"/>
        </w:rPr>
      </w:pPr>
    </w:p>
    <w:p w14:paraId="4CB3A5FE">
      <w:pPr>
        <w:spacing w:line="400" w:lineRule="exact"/>
        <w:rPr>
          <w:rFonts w:hint="eastAsia" w:ascii="仿宋" w:hAnsi="仿宋" w:eastAsia="仿宋" w:cs="仿宋"/>
          <w:color w:val="auto"/>
          <w:sz w:val="24"/>
          <w:szCs w:val="24"/>
          <w:highlight w:val="none"/>
        </w:rPr>
      </w:pPr>
    </w:p>
    <w:p w14:paraId="506EC7BB">
      <w:pPr>
        <w:spacing w:line="400" w:lineRule="exact"/>
        <w:ind w:firstLine="4320" w:firstLineChars="18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w:t>
      </w:r>
    </w:p>
    <w:p w14:paraId="65581577">
      <w:pPr>
        <w:spacing w:line="400" w:lineRule="exact"/>
        <w:rPr>
          <w:rFonts w:hint="eastAsia" w:ascii="仿宋" w:hAnsi="仿宋" w:eastAsia="仿宋" w:cs="仿宋"/>
          <w:color w:val="auto"/>
          <w:sz w:val="24"/>
          <w:szCs w:val="24"/>
          <w:highlight w:val="none"/>
        </w:rPr>
      </w:pPr>
    </w:p>
    <w:p w14:paraId="415039DF">
      <w:pPr>
        <w:spacing w:line="400" w:lineRule="exact"/>
        <w:ind w:firstLine="5520" w:firstLineChars="2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11879952">
      <w:pPr>
        <w:tabs>
          <w:tab w:val="left" w:pos="6300"/>
        </w:tabs>
        <w:snapToGrid w:val="0"/>
        <w:spacing w:line="500" w:lineRule="exact"/>
        <w:ind w:right="480" w:firstLine="570"/>
        <w:jc w:val="left"/>
        <w:rPr>
          <w:rFonts w:hint="eastAsia" w:ascii="仿宋" w:hAnsi="仿宋" w:eastAsia="仿宋" w:cs="仿宋"/>
          <w:sz w:val="24"/>
          <w:highlight w:val="none"/>
        </w:rPr>
      </w:pPr>
      <w:r>
        <w:rPr>
          <w:rFonts w:hint="eastAsia" w:ascii="仿宋" w:hAnsi="仿宋" w:eastAsia="仿宋" w:cs="仿宋"/>
          <w:sz w:val="24"/>
          <w:highlight w:val="none"/>
        </w:rPr>
        <w:t>被授权人电话：XXXXXXX     电子邮箱：XXXXXX@XXXXX（若法定代表人办理并签署</w:t>
      </w:r>
      <w:r>
        <w:rPr>
          <w:rFonts w:hint="eastAsia" w:ascii="仿宋" w:hAnsi="仿宋" w:eastAsia="仿宋" w:cs="仿宋"/>
          <w:sz w:val="24"/>
          <w:highlight w:val="none"/>
          <w:lang w:eastAsia="zh-CN"/>
        </w:rPr>
        <w:t>响应文件</w:t>
      </w:r>
      <w:r>
        <w:rPr>
          <w:rFonts w:hint="eastAsia" w:ascii="仿宋" w:hAnsi="仿宋" w:eastAsia="仿宋" w:cs="仿宋"/>
          <w:sz w:val="24"/>
          <w:highlight w:val="none"/>
        </w:rPr>
        <w:t>的可不填写）</w:t>
      </w:r>
    </w:p>
    <w:p w14:paraId="51481836">
      <w:pPr>
        <w:tabs>
          <w:tab w:val="left" w:pos="6300"/>
        </w:tabs>
        <w:snapToGrid w:val="0"/>
        <w:spacing w:line="500" w:lineRule="exact"/>
        <w:ind w:right="480" w:firstLine="570"/>
        <w:jc w:val="left"/>
        <w:rPr>
          <w:rFonts w:hint="eastAsia" w:ascii="仿宋" w:hAnsi="仿宋" w:eastAsia="仿宋" w:cs="仿宋"/>
          <w:sz w:val="24"/>
          <w:highlight w:val="none"/>
        </w:rPr>
      </w:pPr>
      <w:r>
        <w:rPr>
          <w:rFonts w:hint="eastAsia" w:ascii="仿宋" w:hAnsi="仿宋" w:eastAsia="仿宋" w:cs="仿宋"/>
          <w:sz w:val="24"/>
          <w:highlight w:val="none"/>
        </w:rPr>
        <w:t>注：</w:t>
      </w:r>
    </w:p>
    <w:p w14:paraId="415D39FE">
      <w:pPr>
        <w:spacing w:line="480" w:lineRule="exact"/>
        <w:rPr>
          <w:rFonts w:hint="eastAsia" w:ascii="仿宋" w:hAnsi="仿宋" w:eastAsia="仿宋" w:cs="仿宋"/>
          <w:color w:val="auto"/>
          <w:sz w:val="24"/>
          <w:szCs w:val="24"/>
          <w:highlight w:val="none"/>
        </w:rPr>
      </w:pPr>
      <w:r>
        <w:rPr>
          <w:rFonts w:hint="eastAsia" w:ascii="仿宋" w:hAnsi="仿宋" w:eastAsia="仿宋" w:cs="仿宋"/>
          <w:sz w:val="24"/>
          <w:highlight w:val="none"/>
        </w:rPr>
        <w:t>1.若为法定代表人办理并签署</w:t>
      </w:r>
      <w:r>
        <w:rPr>
          <w:rFonts w:hint="eastAsia" w:ascii="仿宋" w:hAnsi="仿宋" w:eastAsia="仿宋" w:cs="仿宋"/>
          <w:sz w:val="24"/>
          <w:highlight w:val="none"/>
          <w:lang w:eastAsia="zh-CN"/>
        </w:rPr>
        <w:t>响应文件</w:t>
      </w:r>
      <w:r>
        <w:rPr>
          <w:rFonts w:hint="eastAsia" w:ascii="仿宋" w:hAnsi="仿宋" w:eastAsia="仿宋" w:cs="仿宋"/>
          <w:sz w:val="24"/>
          <w:highlight w:val="none"/>
        </w:rPr>
        <w:t>的，不提供此文件。</w:t>
      </w:r>
    </w:p>
    <w:p w14:paraId="0893B858">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r>
        <w:rPr>
          <w:rFonts w:hint="eastAsia" w:ascii="仿宋" w:hAnsi="仿宋" w:eastAsia="仿宋" w:cs="仿宋"/>
          <w:color w:val="auto"/>
          <w:sz w:val="24"/>
          <w:szCs w:val="24"/>
          <w:highlight w:val="none"/>
        </w:rPr>
        <w:t>（四）基本资格条件承诺函</w:t>
      </w:r>
    </w:p>
    <w:p w14:paraId="293F86F7">
      <w:pPr>
        <w:spacing w:line="400" w:lineRule="exact"/>
        <w:rPr>
          <w:rFonts w:hint="eastAsia" w:ascii="仿宋" w:hAnsi="仿宋" w:eastAsia="仿宋" w:cs="仿宋"/>
          <w:color w:val="auto"/>
          <w:sz w:val="24"/>
          <w:szCs w:val="24"/>
          <w:highlight w:val="none"/>
        </w:rPr>
      </w:pPr>
    </w:p>
    <w:p w14:paraId="26C3B38E">
      <w:pPr>
        <w:tabs>
          <w:tab w:val="left" w:pos="6300"/>
        </w:tabs>
        <w:snapToGrid w:val="0"/>
        <w:spacing w:line="400" w:lineRule="exact"/>
        <w:ind w:firstLine="573"/>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基本资格条件承诺函</w:t>
      </w:r>
    </w:p>
    <w:p w14:paraId="46688CFC">
      <w:pPr>
        <w:tabs>
          <w:tab w:val="left" w:pos="6300"/>
        </w:tabs>
        <w:snapToGrid w:val="0"/>
        <w:spacing w:line="400" w:lineRule="exact"/>
        <w:rPr>
          <w:rFonts w:hint="eastAsia" w:ascii="仿宋" w:hAnsi="仿宋" w:eastAsia="仿宋" w:cs="仿宋"/>
          <w:color w:val="auto"/>
          <w:sz w:val="24"/>
          <w:szCs w:val="24"/>
          <w:highlight w:val="none"/>
        </w:rPr>
      </w:pPr>
    </w:p>
    <w:p w14:paraId="4A7F138C">
      <w:pPr>
        <w:tabs>
          <w:tab w:val="left" w:pos="6300"/>
        </w:tabs>
        <w:snapToGrid w:val="0"/>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（采购代理机构名称）：</w:t>
      </w:r>
    </w:p>
    <w:p w14:paraId="35F759BA">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名称）郑重承诺：</w:t>
      </w:r>
    </w:p>
    <w:p w14:paraId="48B131C4">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1.我方具有良好的商业信誉和健全的财务会计制度，具有履行合同所必需的设备和专业技术能力，具</w:t>
      </w:r>
      <w:r>
        <w:rPr>
          <w:rFonts w:hint="eastAsia" w:ascii="仿宋" w:hAnsi="仿宋" w:eastAsia="仿宋" w:cs="仿宋"/>
          <w:color w:val="auto"/>
          <w:sz w:val="24"/>
          <w:szCs w:val="24"/>
          <w:highlight w:val="none"/>
          <w:lang w:val="zh-CN"/>
        </w:rPr>
        <w:t>有依法缴纳税收和社会保障金的良好记录</w:t>
      </w:r>
      <w:r>
        <w:rPr>
          <w:rFonts w:hint="eastAsia" w:ascii="仿宋" w:hAnsi="仿宋" w:eastAsia="仿宋" w:cs="仿宋"/>
          <w:color w:val="auto"/>
          <w:sz w:val="24"/>
          <w:szCs w:val="24"/>
          <w:highlight w:val="none"/>
        </w:rPr>
        <w:t>，参加本项目采购活动前三年内无重大违法活动记录。</w:t>
      </w:r>
    </w:p>
    <w:p w14:paraId="5649C22D">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2.我方未列入在信用中国网站（www.creditchina.gov.cn）“失信被执行人”、“重大税收违法案件当事人名单”中，也未列入中国政府采购网（www.ccgp.gov.cn）“政府采购严重违法失信行为记录名单”中。</w:t>
      </w:r>
    </w:p>
    <w:p w14:paraId="5A077620">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3.我方在采购项目评审（评标）环节结束后，随时接受采购人、采购代理机构的检查验证，配合提供相关证明材料，证明符合《中华人民共和国政府采购法》规定的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基本资格条件。</w:t>
      </w:r>
    </w:p>
    <w:p w14:paraId="49D22E32">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我方对以上承诺负全部法律责任。</w:t>
      </w:r>
    </w:p>
    <w:p w14:paraId="7C5095AC">
      <w:pPr>
        <w:tabs>
          <w:tab w:val="left" w:pos="6300"/>
        </w:tabs>
        <w:snapToGrid w:val="0"/>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14:paraId="15B84D27">
      <w:pPr>
        <w:tabs>
          <w:tab w:val="left" w:pos="6300"/>
        </w:tabs>
        <w:snapToGrid w:val="0"/>
        <w:spacing w:line="400" w:lineRule="exact"/>
        <w:rPr>
          <w:rFonts w:hint="eastAsia" w:ascii="仿宋" w:hAnsi="仿宋" w:eastAsia="仿宋" w:cs="仿宋"/>
          <w:color w:val="auto"/>
          <w:sz w:val="24"/>
          <w:szCs w:val="24"/>
          <w:highlight w:val="none"/>
        </w:rPr>
      </w:pPr>
    </w:p>
    <w:p w14:paraId="35E82918">
      <w:pPr>
        <w:tabs>
          <w:tab w:val="left" w:pos="6300"/>
        </w:tabs>
        <w:snapToGrid w:val="0"/>
        <w:spacing w:line="400" w:lineRule="exact"/>
        <w:ind w:right="424" w:firstLine="570"/>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公章）</w:t>
      </w:r>
    </w:p>
    <w:p w14:paraId="6603E146">
      <w:pPr>
        <w:tabs>
          <w:tab w:val="left" w:pos="6300"/>
        </w:tabs>
        <w:snapToGrid w:val="0"/>
        <w:spacing w:line="400" w:lineRule="exact"/>
        <w:ind w:firstLine="7440" w:firstLineChars="3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   月   日</w:t>
      </w:r>
    </w:p>
    <w:p w14:paraId="5C76D1F9">
      <w:pPr>
        <w:spacing w:line="400" w:lineRule="exact"/>
        <w:ind w:firstLine="7680" w:firstLineChars="3200"/>
        <w:rPr>
          <w:rFonts w:hint="eastAsia" w:ascii="仿宋" w:hAnsi="仿宋" w:eastAsia="仿宋" w:cs="仿宋"/>
          <w:color w:val="auto"/>
          <w:sz w:val="24"/>
          <w:szCs w:val="24"/>
          <w:highlight w:val="none"/>
        </w:rPr>
      </w:pPr>
    </w:p>
    <w:p w14:paraId="5200AA45">
      <w:pPr>
        <w:spacing w:line="400" w:lineRule="exact"/>
        <w:rPr>
          <w:rFonts w:hint="eastAsia" w:ascii="仿宋" w:hAnsi="仿宋" w:eastAsia="仿宋" w:cs="仿宋"/>
          <w:color w:val="auto"/>
          <w:sz w:val="24"/>
          <w:szCs w:val="24"/>
          <w:highlight w:val="none"/>
        </w:rPr>
      </w:pPr>
    </w:p>
    <w:p w14:paraId="52E01BF8">
      <w:pPr>
        <w:spacing w:line="400" w:lineRule="exact"/>
        <w:rPr>
          <w:rFonts w:hint="eastAsia" w:ascii="仿宋" w:hAnsi="仿宋" w:eastAsia="仿宋" w:cs="仿宋"/>
          <w:color w:val="auto"/>
          <w:sz w:val="24"/>
          <w:szCs w:val="24"/>
          <w:highlight w:val="none"/>
        </w:rPr>
      </w:pPr>
    </w:p>
    <w:p w14:paraId="6349E00E">
      <w:pPr>
        <w:spacing w:line="400" w:lineRule="exact"/>
        <w:rPr>
          <w:rFonts w:hint="eastAsia" w:ascii="仿宋" w:hAnsi="仿宋" w:eastAsia="仿宋" w:cs="仿宋"/>
          <w:color w:val="auto"/>
          <w:sz w:val="24"/>
          <w:szCs w:val="24"/>
          <w:highlight w:val="none"/>
        </w:rPr>
      </w:pPr>
    </w:p>
    <w:p w14:paraId="4702BF6A">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5F23B768">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（五）特定资格条件证书或证明文件</w:t>
      </w:r>
    </w:p>
    <w:p w14:paraId="7A9FE144">
      <w:pPr>
        <w:spacing w:line="400" w:lineRule="exact"/>
        <w:rPr>
          <w:rFonts w:hint="eastAsia" w:ascii="仿宋" w:hAnsi="仿宋" w:eastAsia="仿宋" w:cs="仿宋"/>
          <w:color w:val="auto"/>
          <w:sz w:val="24"/>
          <w:szCs w:val="24"/>
          <w:highlight w:val="none"/>
        </w:rPr>
      </w:pPr>
    </w:p>
    <w:p w14:paraId="751E53BD">
      <w:pPr>
        <w:pStyle w:val="3"/>
        <w:pageBreakBefore w:val="0"/>
        <w:widowControl w:val="0"/>
        <w:numPr>
          <w:ilvl w:val="0"/>
          <w:numId w:val="0"/>
        </w:numPr>
        <w:kinsoku/>
        <w:wordWrap/>
        <w:overflowPunct/>
        <w:topLinePunct w:val="0"/>
        <w:autoSpaceDE/>
        <w:autoSpaceDN/>
        <w:bidi w:val="0"/>
        <w:spacing w:line="400" w:lineRule="exact"/>
        <w:textAlignment w:val="auto"/>
        <w:rPr>
          <w:rFonts w:hint="eastAsia" w:ascii="仿宋" w:hAnsi="仿宋" w:eastAsia="仿宋" w:cs="仿宋"/>
          <w:color w:val="auto"/>
          <w:sz w:val="24"/>
          <w:szCs w:val="24"/>
          <w:highlight w:val="none"/>
        </w:rPr>
      </w:pPr>
      <w:bookmarkStart w:id="167" w:name="_Toc14422"/>
      <w:r>
        <w:rPr>
          <w:rFonts w:hint="eastAsia" w:ascii="仿宋" w:hAnsi="仿宋" w:eastAsia="仿宋" w:cs="仿宋"/>
          <w:color w:val="auto"/>
          <w:sz w:val="24"/>
          <w:szCs w:val="24"/>
          <w:highlight w:val="none"/>
        </w:rPr>
        <w:br w:type="page"/>
      </w:r>
      <w:bookmarkStart w:id="168" w:name="_Toc4738"/>
      <w:bookmarkStart w:id="169" w:name="_Toc23022"/>
      <w:bookmarkStart w:id="170" w:name="_Toc23612"/>
      <w:bookmarkStart w:id="171" w:name="_Toc1632"/>
      <w:bookmarkStart w:id="172" w:name="_Toc49431877"/>
      <w:bookmarkStart w:id="173" w:name="_Toc16968"/>
      <w:r>
        <w:rPr>
          <w:rFonts w:hint="eastAsia" w:ascii="仿宋" w:hAnsi="仿宋" w:eastAsia="仿宋" w:cs="仿宋"/>
          <w:b/>
          <w:color w:val="auto"/>
          <w:kern w:val="2"/>
          <w:sz w:val="24"/>
          <w:szCs w:val="24"/>
          <w:lang w:val="en-US" w:eastAsia="zh-CN" w:bidi="ar-SA"/>
        </w:rPr>
        <w:t>五、其他资料</w:t>
      </w:r>
      <w:bookmarkEnd w:id="167"/>
      <w:bookmarkEnd w:id="168"/>
      <w:bookmarkEnd w:id="169"/>
      <w:bookmarkEnd w:id="170"/>
      <w:bookmarkEnd w:id="171"/>
      <w:bookmarkEnd w:id="172"/>
      <w:bookmarkEnd w:id="173"/>
    </w:p>
    <w:p w14:paraId="6982267A">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（一）其他与项目有关的资料</w:t>
      </w:r>
    </w:p>
    <w:p w14:paraId="383FD687">
      <w:pPr>
        <w:spacing w:line="40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其他与项目有关的资料（自附）：</w:t>
      </w: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总体情况介绍、其他与本项目有关的资料等。</w:t>
      </w:r>
    </w:p>
    <w:p w14:paraId="4D0E1B82">
      <w:pPr>
        <w:spacing w:line="400" w:lineRule="exact"/>
        <w:rPr>
          <w:rFonts w:hint="eastAsia" w:ascii="仿宋" w:hAnsi="仿宋" w:eastAsia="仿宋" w:cs="仿宋"/>
          <w:color w:val="auto"/>
          <w:sz w:val="24"/>
          <w:szCs w:val="24"/>
          <w:highlight w:val="none"/>
        </w:rPr>
      </w:pPr>
    </w:p>
    <w:p w14:paraId="66EAFA52">
      <w:pPr>
        <w:spacing w:line="400" w:lineRule="exact"/>
        <w:rPr>
          <w:rFonts w:hint="eastAsia" w:ascii="仿宋" w:hAnsi="仿宋" w:eastAsia="仿宋" w:cs="仿宋"/>
          <w:color w:val="auto"/>
          <w:sz w:val="24"/>
          <w:szCs w:val="24"/>
          <w:highlight w:val="none"/>
        </w:rPr>
      </w:pPr>
    </w:p>
    <w:p w14:paraId="0752A93D">
      <w:pPr>
        <w:spacing w:line="400" w:lineRule="exact"/>
        <w:rPr>
          <w:rFonts w:hint="eastAsia" w:ascii="仿宋" w:hAnsi="仿宋" w:eastAsia="仿宋" w:cs="仿宋"/>
          <w:color w:val="auto"/>
          <w:sz w:val="24"/>
          <w:szCs w:val="24"/>
          <w:highlight w:val="none"/>
        </w:rPr>
      </w:pPr>
    </w:p>
    <w:p w14:paraId="529AA23B">
      <w:pPr>
        <w:spacing w:line="400" w:lineRule="exact"/>
        <w:rPr>
          <w:rFonts w:hint="eastAsia" w:ascii="仿宋" w:hAnsi="仿宋" w:eastAsia="仿宋" w:cs="仿宋"/>
          <w:color w:val="auto"/>
          <w:sz w:val="24"/>
          <w:szCs w:val="24"/>
          <w:highlight w:val="none"/>
        </w:rPr>
      </w:pPr>
    </w:p>
    <w:p w14:paraId="69571555">
      <w:pPr>
        <w:spacing w:line="400" w:lineRule="exact"/>
        <w:rPr>
          <w:rFonts w:hint="eastAsia" w:ascii="仿宋" w:hAnsi="仿宋" w:eastAsia="仿宋" w:cs="仿宋"/>
          <w:color w:val="auto"/>
          <w:sz w:val="24"/>
          <w:szCs w:val="24"/>
          <w:highlight w:val="none"/>
        </w:rPr>
      </w:pPr>
    </w:p>
    <w:p w14:paraId="201FBF2B">
      <w:pPr>
        <w:spacing w:line="400" w:lineRule="exact"/>
        <w:rPr>
          <w:rFonts w:hint="eastAsia" w:ascii="仿宋" w:hAnsi="仿宋" w:eastAsia="仿宋" w:cs="仿宋"/>
          <w:color w:val="auto"/>
          <w:sz w:val="24"/>
          <w:szCs w:val="24"/>
          <w:highlight w:val="none"/>
        </w:rPr>
      </w:pPr>
    </w:p>
    <w:p w14:paraId="2593F45E">
      <w:pPr>
        <w:spacing w:line="400" w:lineRule="exact"/>
        <w:rPr>
          <w:rFonts w:hint="eastAsia" w:ascii="仿宋" w:hAnsi="仿宋" w:eastAsia="仿宋" w:cs="仿宋"/>
          <w:color w:val="auto"/>
          <w:sz w:val="24"/>
          <w:szCs w:val="24"/>
          <w:highlight w:val="none"/>
        </w:rPr>
      </w:pPr>
    </w:p>
    <w:p w14:paraId="32A2A903">
      <w:pPr>
        <w:spacing w:line="400" w:lineRule="exact"/>
        <w:rPr>
          <w:rFonts w:hint="eastAsia" w:ascii="仿宋" w:hAnsi="仿宋" w:eastAsia="仿宋" w:cs="仿宋"/>
          <w:color w:val="auto"/>
          <w:sz w:val="24"/>
          <w:szCs w:val="24"/>
          <w:highlight w:val="none"/>
        </w:rPr>
      </w:pPr>
    </w:p>
    <w:p w14:paraId="4E151CD8">
      <w:pPr>
        <w:spacing w:line="400" w:lineRule="exact"/>
        <w:rPr>
          <w:rFonts w:hint="eastAsia" w:ascii="仿宋" w:hAnsi="仿宋" w:eastAsia="仿宋" w:cs="仿宋"/>
          <w:color w:val="auto"/>
          <w:sz w:val="24"/>
          <w:szCs w:val="24"/>
          <w:highlight w:val="none"/>
        </w:rPr>
      </w:pPr>
    </w:p>
    <w:p w14:paraId="48539C16">
      <w:pPr>
        <w:spacing w:line="400" w:lineRule="exact"/>
        <w:rPr>
          <w:rFonts w:hint="eastAsia" w:ascii="仿宋" w:hAnsi="仿宋" w:eastAsia="仿宋" w:cs="仿宋"/>
          <w:color w:val="auto"/>
          <w:sz w:val="24"/>
          <w:szCs w:val="24"/>
          <w:highlight w:val="none"/>
        </w:rPr>
      </w:pPr>
    </w:p>
    <w:p w14:paraId="28421932">
      <w:pPr>
        <w:spacing w:line="400" w:lineRule="exact"/>
        <w:rPr>
          <w:rFonts w:hint="eastAsia" w:ascii="仿宋" w:hAnsi="仿宋" w:eastAsia="仿宋" w:cs="仿宋"/>
          <w:color w:val="auto"/>
          <w:sz w:val="24"/>
          <w:szCs w:val="24"/>
          <w:highlight w:val="none"/>
        </w:rPr>
      </w:pPr>
    </w:p>
    <w:p w14:paraId="6E43D684">
      <w:pPr>
        <w:spacing w:line="400" w:lineRule="exact"/>
        <w:rPr>
          <w:rFonts w:hint="eastAsia" w:ascii="仿宋" w:hAnsi="仿宋" w:eastAsia="仿宋" w:cs="仿宋"/>
          <w:color w:val="auto"/>
          <w:sz w:val="24"/>
          <w:szCs w:val="24"/>
          <w:highlight w:val="none"/>
        </w:rPr>
      </w:pPr>
    </w:p>
    <w:p w14:paraId="69C21A1D">
      <w:pPr>
        <w:spacing w:line="400" w:lineRule="exact"/>
        <w:rPr>
          <w:rFonts w:hint="eastAsia" w:ascii="仿宋" w:hAnsi="仿宋" w:eastAsia="仿宋" w:cs="仿宋"/>
          <w:color w:val="auto"/>
          <w:sz w:val="24"/>
          <w:szCs w:val="24"/>
          <w:highlight w:val="none"/>
        </w:rPr>
      </w:pPr>
    </w:p>
    <w:p w14:paraId="09303C8A">
      <w:pPr>
        <w:spacing w:line="400" w:lineRule="exact"/>
        <w:rPr>
          <w:rFonts w:hint="eastAsia" w:ascii="仿宋" w:hAnsi="仿宋" w:eastAsia="仿宋" w:cs="仿宋"/>
          <w:color w:val="auto"/>
          <w:sz w:val="24"/>
          <w:szCs w:val="24"/>
          <w:highlight w:val="none"/>
        </w:rPr>
      </w:pPr>
    </w:p>
    <w:p w14:paraId="22DAAF3A">
      <w:pPr>
        <w:spacing w:line="400" w:lineRule="exact"/>
        <w:rPr>
          <w:rFonts w:hint="eastAsia" w:ascii="仿宋" w:hAnsi="仿宋" w:eastAsia="仿宋" w:cs="仿宋"/>
          <w:color w:val="auto"/>
          <w:sz w:val="24"/>
          <w:szCs w:val="24"/>
          <w:highlight w:val="none"/>
        </w:rPr>
      </w:pPr>
    </w:p>
    <w:p w14:paraId="108C7A3F">
      <w:pPr>
        <w:spacing w:line="400" w:lineRule="exact"/>
        <w:rPr>
          <w:rFonts w:hint="eastAsia" w:ascii="仿宋" w:hAnsi="仿宋" w:eastAsia="仿宋" w:cs="仿宋"/>
          <w:color w:val="auto"/>
          <w:sz w:val="24"/>
          <w:szCs w:val="24"/>
          <w:highlight w:val="none"/>
        </w:rPr>
      </w:pPr>
    </w:p>
    <w:p w14:paraId="4808BA76">
      <w:pPr>
        <w:spacing w:line="4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（结束）</w:t>
      </w:r>
    </w:p>
    <w:p w14:paraId="0A512B5C">
      <w:pPr>
        <w:tabs>
          <w:tab w:val="left" w:pos="6300"/>
        </w:tabs>
        <w:snapToGrid w:val="0"/>
        <w:spacing w:line="500" w:lineRule="exact"/>
        <w:ind w:firstLine="560"/>
        <w:jc w:val="center"/>
        <w:rPr>
          <w:rFonts w:hint="eastAsia" w:ascii="仿宋" w:hAnsi="仿宋" w:eastAsia="仿宋" w:cs="仿宋"/>
          <w:color w:val="auto"/>
          <w:sz w:val="24"/>
          <w:szCs w:val="24"/>
          <w:highlight w:val="none"/>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B4C2A49C-9D3C-47C9-B97F-A0365957148F}"/>
  </w:font>
  <w:font w:name="Consolas">
    <w:panose1 w:val="020B0609020204030204"/>
    <w:charset w:val="00"/>
    <w:family w:val="auto"/>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09E9EDC2-306F-448E-8D5A-1AB3B6BE7359}"/>
  </w:font>
  <w:font w:name="方正仿宋_GBK">
    <w:panose1 w:val="02000000000000000000"/>
    <w:charset w:val="86"/>
    <w:family w:val="script"/>
    <w:pitch w:val="default"/>
    <w:sig w:usb0="A00002BF" w:usb1="38CF7CFA" w:usb2="00082016" w:usb3="00000000" w:csb0="00040001" w:csb1="00000000"/>
    <w:embedRegular r:id="rId3" w:fontKey="{675E1E07-A120-4F98-8188-B85091CA59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4969A">
    <w:pPr>
      <w:pStyle w:val="16"/>
      <w:jc w:val="center"/>
      <w:rPr>
        <w:sz w:val="24"/>
      </w:rPr>
    </w:pPr>
    <w:r>
      <w:rPr>
        <w:sz w:val="24"/>
      </w:rPr>
      <w:fldChar w:fldCharType="begin"/>
    </w:r>
    <w:r>
      <w:rPr>
        <w:rStyle w:val="28"/>
        <w:sz w:val="24"/>
      </w:rPr>
      <w:instrText xml:space="preserve"> PAGE </w:instrText>
    </w:r>
    <w:r>
      <w:rPr>
        <w:sz w:val="24"/>
      </w:rPr>
      <w:fldChar w:fldCharType="separate"/>
    </w:r>
    <w:r>
      <w:rPr>
        <w:rStyle w:val="28"/>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AA58F">
    <w:pPr>
      <w:pStyle w:val="16"/>
      <w:framePr w:wrap="around" w:vAnchor="text" w:hAnchor="margin" w:xAlign="center" w:y="1"/>
      <w:rPr>
        <w:rStyle w:val="28"/>
      </w:rPr>
    </w:pPr>
    <w:r>
      <w:fldChar w:fldCharType="begin"/>
    </w:r>
    <w:r>
      <w:rPr>
        <w:rStyle w:val="28"/>
      </w:rPr>
      <w:instrText xml:space="preserve">PAGE  </w:instrText>
    </w:r>
    <w:r>
      <w:fldChar w:fldCharType="separate"/>
    </w:r>
    <w:r>
      <w:fldChar w:fldCharType="end"/>
    </w:r>
  </w:p>
  <w:p w14:paraId="784C83C0">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8F6C6">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F46A4">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D6F46A4">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1E72">
    <w:pPr>
      <w:pStyle w:val="17"/>
      <w:jc w:val="both"/>
      <w:rPr>
        <w:rFonts w:ascii="方正仿宋_GBK" w:eastAsia="方正仿宋_GBK"/>
        <w:sz w:val="21"/>
        <w:szCs w:val="24"/>
      </w:rPr>
    </w:pPr>
    <w:r>
      <w:rPr>
        <w:rFonts w:hint="eastAsia" w:ascii="方正仿宋_GBK" w:eastAsia="方正仿宋_GBK"/>
        <w:sz w:val="21"/>
        <w:szCs w:val="21"/>
      </w:rPr>
      <w:drawing>
        <wp:inline distT="0" distB="0" distL="114300" distR="114300">
          <wp:extent cx="250190" cy="213995"/>
          <wp:effectExtent l="0" t="0" r="16510" b="14605"/>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1"/>
                  <a:stretch>
                    <a:fillRect/>
                  </a:stretch>
                </pic:blipFill>
                <pic:spPr>
                  <a:xfrm>
                    <a:off x="0" y="0"/>
                    <a:ext cx="250190" cy="213995"/>
                  </a:xfrm>
                  <a:prstGeom prst="rect">
                    <a:avLst/>
                  </a:prstGeom>
                  <a:noFill/>
                  <a:ln>
                    <a:noFill/>
                  </a:ln>
                </pic:spPr>
              </pic:pic>
            </a:graphicData>
          </a:graphic>
        </wp:inline>
      </w:drawing>
    </w:r>
    <w:r>
      <w:rPr>
        <w:rFonts w:hint="eastAsia" w:ascii="仿宋" w:hAnsi="仿宋" w:eastAsia="仿宋"/>
        <w:sz w:val="21"/>
        <w:szCs w:val="21"/>
        <w:lang w:eastAsia="zh-CN"/>
      </w:rPr>
      <w:t>蓝普特科技(重庆)有限公司</w:t>
    </w:r>
    <w:r>
      <w:rPr>
        <w:rFonts w:hint="eastAsia" w:ascii="宋体" w:hAnsi="宋体"/>
        <w:sz w:val="21"/>
        <w:szCs w:val="21"/>
      </w:rPr>
      <w:t xml:space="preserve">                                           </w:t>
    </w:r>
    <w:r>
      <w:rPr>
        <w:rFonts w:hint="eastAsia" w:ascii="仿宋" w:hAnsi="仿宋" w:eastAsia="仿宋" w:cs="仿宋"/>
        <w:sz w:val="21"/>
        <w:szCs w:val="21"/>
      </w:rPr>
      <w:t>竞争性比选文件</w:t>
    </w:r>
    <w:r>
      <w:rPr>
        <w:rFonts w:hint="eastAsia" w:ascii="方正仿宋_GBK" w:eastAsia="方正仿宋_GBK"/>
        <w:sz w:val="21"/>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A63D4">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E3E05">
    <w:pPr>
      <w:pStyle w:val="1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B7B61">
    <w:pPr>
      <w:pStyle w:val="17"/>
      <w:jc w:val="both"/>
      <w:rPr>
        <w:rFonts w:hint="eastAsia" w:ascii="仿宋" w:hAnsi="仿宋" w:eastAsia="仿宋" w:cs="仿宋"/>
        <w:sz w:val="24"/>
        <w:szCs w:val="24"/>
        <w:lang w:eastAsia="zh-CN"/>
      </w:rPr>
    </w:pPr>
    <w:r>
      <w:rPr>
        <w:rFonts w:hint="eastAsia" w:ascii="方正仿宋_GBK" w:eastAsia="方正仿宋_GBK"/>
        <w:sz w:val="21"/>
        <w:szCs w:val="24"/>
      </w:rPr>
      <w:drawing>
        <wp:inline distT="0" distB="0" distL="114300" distR="114300">
          <wp:extent cx="279400" cy="236855"/>
          <wp:effectExtent l="0" t="0" r="10160" b="6985"/>
          <wp:docPr id="5" name="图片 2" descr="聚创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聚创LOGO"/>
                  <pic:cNvPicPr>
                    <a:picLocks noChangeAspect="1"/>
                  </pic:cNvPicPr>
                </pic:nvPicPr>
                <pic:blipFill>
                  <a:blip r:embed="rId1"/>
                  <a:stretch>
                    <a:fillRect/>
                  </a:stretch>
                </pic:blipFill>
                <pic:spPr>
                  <a:xfrm>
                    <a:off x="0" y="0"/>
                    <a:ext cx="279400" cy="236855"/>
                  </a:xfrm>
                  <a:prstGeom prst="rect">
                    <a:avLst/>
                  </a:prstGeom>
                  <a:noFill/>
                  <a:ln>
                    <a:noFill/>
                  </a:ln>
                </pic:spPr>
              </pic:pic>
            </a:graphicData>
          </a:graphic>
        </wp:inline>
      </w:drawing>
    </w:r>
    <w:r>
      <w:rPr>
        <w:rFonts w:hint="eastAsia" w:ascii="仿宋" w:hAnsi="仿宋" w:eastAsia="仿宋" w:cs="仿宋"/>
        <w:sz w:val="24"/>
        <w:szCs w:val="24"/>
        <w:lang w:eastAsia="zh-CN"/>
      </w:rPr>
      <w:t>重庆市聚创招标代理有限公司</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lang w:eastAsia="zh-CN"/>
      </w:rPr>
      <w:t>竞争性比选文件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4B732"/>
    <w:multiLevelType w:val="singleLevel"/>
    <w:tmpl w:val="8264B732"/>
    <w:lvl w:ilvl="0" w:tentative="0">
      <w:start w:val="4"/>
      <w:numFmt w:val="chineseCounting"/>
      <w:suff w:val="space"/>
      <w:lvlText w:val="第%1篇"/>
      <w:lvlJc w:val="left"/>
      <w:rPr>
        <w:rFonts w:hint="eastAsia"/>
      </w:rPr>
    </w:lvl>
  </w:abstractNum>
  <w:abstractNum w:abstractNumId="1">
    <w:nsid w:val="930D329C"/>
    <w:multiLevelType w:val="singleLevel"/>
    <w:tmpl w:val="930D329C"/>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RmNmYwMDVlMzJlZWJiYTU5NmE1M2QwZmNmNDQ5MGQifQ=="/>
  </w:docVars>
  <w:rsids>
    <w:rsidRoot w:val="007A16A6"/>
    <w:rsid w:val="00001F79"/>
    <w:rsid w:val="000E7463"/>
    <w:rsid w:val="004371E3"/>
    <w:rsid w:val="00483F46"/>
    <w:rsid w:val="00485C2C"/>
    <w:rsid w:val="007A16A6"/>
    <w:rsid w:val="00967338"/>
    <w:rsid w:val="009A23AB"/>
    <w:rsid w:val="009C7964"/>
    <w:rsid w:val="00B12A73"/>
    <w:rsid w:val="00BA5DF6"/>
    <w:rsid w:val="00D10673"/>
    <w:rsid w:val="00D52756"/>
    <w:rsid w:val="00D53746"/>
    <w:rsid w:val="00E23B02"/>
    <w:rsid w:val="00E91541"/>
    <w:rsid w:val="00FC5295"/>
    <w:rsid w:val="011801B4"/>
    <w:rsid w:val="01583118"/>
    <w:rsid w:val="015E3A12"/>
    <w:rsid w:val="01D41FEB"/>
    <w:rsid w:val="01E0649E"/>
    <w:rsid w:val="01EA636A"/>
    <w:rsid w:val="01F11601"/>
    <w:rsid w:val="02013B6C"/>
    <w:rsid w:val="02362B3B"/>
    <w:rsid w:val="02372857"/>
    <w:rsid w:val="024C0DD3"/>
    <w:rsid w:val="028E2BE3"/>
    <w:rsid w:val="02900CBF"/>
    <w:rsid w:val="0294794D"/>
    <w:rsid w:val="02AD7D25"/>
    <w:rsid w:val="02B67E79"/>
    <w:rsid w:val="02BD7F57"/>
    <w:rsid w:val="02D07A91"/>
    <w:rsid w:val="02EC19C0"/>
    <w:rsid w:val="02FC0103"/>
    <w:rsid w:val="031B20B6"/>
    <w:rsid w:val="032A1D61"/>
    <w:rsid w:val="032D0F7E"/>
    <w:rsid w:val="033428D7"/>
    <w:rsid w:val="035E0DBD"/>
    <w:rsid w:val="037D0236"/>
    <w:rsid w:val="038A1E69"/>
    <w:rsid w:val="038A570F"/>
    <w:rsid w:val="03975CFC"/>
    <w:rsid w:val="039E10EB"/>
    <w:rsid w:val="03B510E0"/>
    <w:rsid w:val="03B66D3C"/>
    <w:rsid w:val="03EF6039"/>
    <w:rsid w:val="03FF7DE1"/>
    <w:rsid w:val="04162652"/>
    <w:rsid w:val="041D6583"/>
    <w:rsid w:val="04274F2B"/>
    <w:rsid w:val="044B0558"/>
    <w:rsid w:val="04574102"/>
    <w:rsid w:val="04866AD2"/>
    <w:rsid w:val="04BE4941"/>
    <w:rsid w:val="04C210B5"/>
    <w:rsid w:val="04D01847"/>
    <w:rsid w:val="04D806FC"/>
    <w:rsid w:val="04DA26C6"/>
    <w:rsid w:val="04F35297"/>
    <w:rsid w:val="04FB243E"/>
    <w:rsid w:val="051C0AFA"/>
    <w:rsid w:val="05243941"/>
    <w:rsid w:val="05263B5D"/>
    <w:rsid w:val="058E1529"/>
    <w:rsid w:val="05912AC6"/>
    <w:rsid w:val="05924D4E"/>
    <w:rsid w:val="05A21435"/>
    <w:rsid w:val="05AE3AE8"/>
    <w:rsid w:val="05CF5FA2"/>
    <w:rsid w:val="05E21BDB"/>
    <w:rsid w:val="05E7729D"/>
    <w:rsid w:val="05EC0902"/>
    <w:rsid w:val="05ED5DDC"/>
    <w:rsid w:val="05FC0C11"/>
    <w:rsid w:val="062C120A"/>
    <w:rsid w:val="06647D53"/>
    <w:rsid w:val="06683691"/>
    <w:rsid w:val="06745A21"/>
    <w:rsid w:val="06B86A37"/>
    <w:rsid w:val="06CE1DB6"/>
    <w:rsid w:val="070B125C"/>
    <w:rsid w:val="07183F2F"/>
    <w:rsid w:val="071C6FC5"/>
    <w:rsid w:val="07231007"/>
    <w:rsid w:val="072D6361"/>
    <w:rsid w:val="072E0AA7"/>
    <w:rsid w:val="072E5CE5"/>
    <w:rsid w:val="073A1725"/>
    <w:rsid w:val="073F0F06"/>
    <w:rsid w:val="07487DBA"/>
    <w:rsid w:val="0765096C"/>
    <w:rsid w:val="0768045D"/>
    <w:rsid w:val="077627A2"/>
    <w:rsid w:val="07853019"/>
    <w:rsid w:val="078B414B"/>
    <w:rsid w:val="078E4A89"/>
    <w:rsid w:val="07A34FF1"/>
    <w:rsid w:val="07CD1340"/>
    <w:rsid w:val="0826408A"/>
    <w:rsid w:val="082C148A"/>
    <w:rsid w:val="08314CF2"/>
    <w:rsid w:val="088766C0"/>
    <w:rsid w:val="08A2174C"/>
    <w:rsid w:val="08AC4379"/>
    <w:rsid w:val="08FB476A"/>
    <w:rsid w:val="08FF3F01"/>
    <w:rsid w:val="096A2333"/>
    <w:rsid w:val="09862E1C"/>
    <w:rsid w:val="09945539"/>
    <w:rsid w:val="09A74F2C"/>
    <w:rsid w:val="09AA4D5C"/>
    <w:rsid w:val="09C06C05"/>
    <w:rsid w:val="09D0079B"/>
    <w:rsid w:val="09D74EF0"/>
    <w:rsid w:val="09F63AFE"/>
    <w:rsid w:val="0A0C30B6"/>
    <w:rsid w:val="0A3463D4"/>
    <w:rsid w:val="0A516121"/>
    <w:rsid w:val="0A621193"/>
    <w:rsid w:val="0A6F1B02"/>
    <w:rsid w:val="0A901F39"/>
    <w:rsid w:val="0A904DE1"/>
    <w:rsid w:val="0A9D56F2"/>
    <w:rsid w:val="0AA90B70"/>
    <w:rsid w:val="0ACC485F"/>
    <w:rsid w:val="0AD100C7"/>
    <w:rsid w:val="0AD72553"/>
    <w:rsid w:val="0AFF2E86"/>
    <w:rsid w:val="0B0E131B"/>
    <w:rsid w:val="0B1D0446"/>
    <w:rsid w:val="0B64584D"/>
    <w:rsid w:val="0B64718D"/>
    <w:rsid w:val="0B7E74F7"/>
    <w:rsid w:val="0BBD429F"/>
    <w:rsid w:val="0BBE064B"/>
    <w:rsid w:val="0BC11EE9"/>
    <w:rsid w:val="0C0A3ED7"/>
    <w:rsid w:val="0C2601D9"/>
    <w:rsid w:val="0C2B3807"/>
    <w:rsid w:val="0C601702"/>
    <w:rsid w:val="0C6122B2"/>
    <w:rsid w:val="0C6D06E2"/>
    <w:rsid w:val="0C7F57E9"/>
    <w:rsid w:val="0CC46135"/>
    <w:rsid w:val="0CE31135"/>
    <w:rsid w:val="0CE94E0E"/>
    <w:rsid w:val="0CE95B9C"/>
    <w:rsid w:val="0CF06F2A"/>
    <w:rsid w:val="0D135FD2"/>
    <w:rsid w:val="0D2F254C"/>
    <w:rsid w:val="0D3D5EE8"/>
    <w:rsid w:val="0D5A6955"/>
    <w:rsid w:val="0D6C40D7"/>
    <w:rsid w:val="0D780CCE"/>
    <w:rsid w:val="0D933D59"/>
    <w:rsid w:val="0D9345EC"/>
    <w:rsid w:val="0DC15B08"/>
    <w:rsid w:val="0DD644D9"/>
    <w:rsid w:val="0E2055ED"/>
    <w:rsid w:val="0E912047"/>
    <w:rsid w:val="0EA039FB"/>
    <w:rsid w:val="0EBA1B76"/>
    <w:rsid w:val="0EC00B7E"/>
    <w:rsid w:val="0ECE329B"/>
    <w:rsid w:val="0EEB0949"/>
    <w:rsid w:val="0EED3AD5"/>
    <w:rsid w:val="0F126B2F"/>
    <w:rsid w:val="0F1420B5"/>
    <w:rsid w:val="0F4C41C0"/>
    <w:rsid w:val="0F713C26"/>
    <w:rsid w:val="0F7A6104"/>
    <w:rsid w:val="0FF744AF"/>
    <w:rsid w:val="10172A20"/>
    <w:rsid w:val="101833B4"/>
    <w:rsid w:val="102B2027"/>
    <w:rsid w:val="102D2243"/>
    <w:rsid w:val="107C6D27"/>
    <w:rsid w:val="108765D6"/>
    <w:rsid w:val="10C009C2"/>
    <w:rsid w:val="10CA5CE4"/>
    <w:rsid w:val="10F644F5"/>
    <w:rsid w:val="110A4F79"/>
    <w:rsid w:val="110C1E59"/>
    <w:rsid w:val="112836B9"/>
    <w:rsid w:val="1130443C"/>
    <w:rsid w:val="113118BF"/>
    <w:rsid w:val="11317B11"/>
    <w:rsid w:val="11496C09"/>
    <w:rsid w:val="11542D1E"/>
    <w:rsid w:val="11553800"/>
    <w:rsid w:val="11836E7B"/>
    <w:rsid w:val="118801A1"/>
    <w:rsid w:val="11A27B01"/>
    <w:rsid w:val="11CE35B2"/>
    <w:rsid w:val="11D840DD"/>
    <w:rsid w:val="11E01CC0"/>
    <w:rsid w:val="11E10C03"/>
    <w:rsid w:val="11E678AF"/>
    <w:rsid w:val="12137217"/>
    <w:rsid w:val="121470EA"/>
    <w:rsid w:val="121E4192"/>
    <w:rsid w:val="12384D02"/>
    <w:rsid w:val="125C6E10"/>
    <w:rsid w:val="12701699"/>
    <w:rsid w:val="12723F3D"/>
    <w:rsid w:val="12791770"/>
    <w:rsid w:val="12887666"/>
    <w:rsid w:val="12AD544A"/>
    <w:rsid w:val="12E017EF"/>
    <w:rsid w:val="12EB0137"/>
    <w:rsid w:val="130A5D94"/>
    <w:rsid w:val="133B7018"/>
    <w:rsid w:val="133D36D6"/>
    <w:rsid w:val="134202B1"/>
    <w:rsid w:val="13484F1B"/>
    <w:rsid w:val="13682F98"/>
    <w:rsid w:val="13715B2A"/>
    <w:rsid w:val="13A9398F"/>
    <w:rsid w:val="13BC3EEE"/>
    <w:rsid w:val="13EC1FE4"/>
    <w:rsid w:val="144638D4"/>
    <w:rsid w:val="144D6A10"/>
    <w:rsid w:val="144E09DA"/>
    <w:rsid w:val="14627FE2"/>
    <w:rsid w:val="14902DA1"/>
    <w:rsid w:val="14904B4F"/>
    <w:rsid w:val="149A41EF"/>
    <w:rsid w:val="14B81816"/>
    <w:rsid w:val="150115A9"/>
    <w:rsid w:val="150712B5"/>
    <w:rsid w:val="151C7F30"/>
    <w:rsid w:val="155D250F"/>
    <w:rsid w:val="157B24DC"/>
    <w:rsid w:val="157B50AD"/>
    <w:rsid w:val="15A30C01"/>
    <w:rsid w:val="15A9236C"/>
    <w:rsid w:val="15BC4035"/>
    <w:rsid w:val="15C33ED5"/>
    <w:rsid w:val="15E05662"/>
    <w:rsid w:val="15F64E85"/>
    <w:rsid w:val="160550C9"/>
    <w:rsid w:val="160F08DF"/>
    <w:rsid w:val="1615355E"/>
    <w:rsid w:val="162605E4"/>
    <w:rsid w:val="16473933"/>
    <w:rsid w:val="164E4CC1"/>
    <w:rsid w:val="166521AC"/>
    <w:rsid w:val="166C5F35"/>
    <w:rsid w:val="16970CA9"/>
    <w:rsid w:val="16AC5558"/>
    <w:rsid w:val="16C76BDA"/>
    <w:rsid w:val="16CB00C0"/>
    <w:rsid w:val="16CB6A64"/>
    <w:rsid w:val="16CF5E02"/>
    <w:rsid w:val="16E30B31"/>
    <w:rsid w:val="16F72C63"/>
    <w:rsid w:val="16FA09A5"/>
    <w:rsid w:val="170B0B62"/>
    <w:rsid w:val="171D1C21"/>
    <w:rsid w:val="173C4B1A"/>
    <w:rsid w:val="174E544F"/>
    <w:rsid w:val="17914E66"/>
    <w:rsid w:val="17B212C8"/>
    <w:rsid w:val="17BA0860"/>
    <w:rsid w:val="17C57205"/>
    <w:rsid w:val="17C7342C"/>
    <w:rsid w:val="17DC76E8"/>
    <w:rsid w:val="17DE3E23"/>
    <w:rsid w:val="17E111F6"/>
    <w:rsid w:val="17E458DD"/>
    <w:rsid w:val="1813400F"/>
    <w:rsid w:val="184B14B9"/>
    <w:rsid w:val="18690A6B"/>
    <w:rsid w:val="1872464D"/>
    <w:rsid w:val="18745314"/>
    <w:rsid w:val="188D751D"/>
    <w:rsid w:val="188F1A4B"/>
    <w:rsid w:val="18B20FCE"/>
    <w:rsid w:val="18BB3140"/>
    <w:rsid w:val="18C64D24"/>
    <w:rsid w:val="18CB43A7"/>
    <w:rsid w:val="18E216F1"/>
    <w:rsid w:val="18F558C8"/>
    <w:rsid w:val="18FE477D"/>
    <w:rsid w:val="19030013"/>
    <w:rsid w:val="191C7400"/>
    <w:rsid w:val="194D74B2"/>
    <w:rsid w:val="195715A3"/>
    <w:rsid w:val="19882298"/>
    <w:rsid w:val="199724DC"/>
    <w:rsid w:val="19BF413C"/>
    <w:rsid w:val="19EF40C6"/>
    <w:rsid w:val="1A140219"/>
    <w:rsid w:val="1A147FD0"/>
    <w:rsid w:val="1A5907D2"/>
    <w:rsid w:val="1A5F166A"/>
    <w:rsid w:val="1A606D71"/>
    <w:rsid w:val="1A7F18ED"/>
    <w:rsid w:val="1A8C697D"/>
    <w:rsid w:val="1AAE3F81"/>
    <w:rsid w:val="1AC12C8C"/>
    <w:rsid w:val="1AC76058"/>
    <w:rsid w:val="1AF916A0"/>
    <w:rsid w:val="1B155DAE"/>
    <w:rsid w:val="1B4F12C0"/>
    <w:rsid w:val="1B763A45"/>
    <w:rsid w:val="1B7900EB"/>
    <w:rsid w:val="1B9F2C40"/>
    <w:rsid w:val="1BAF7FB0"/>
    <w:rsid w:val="1BB35CDF"/>
    <w:rsid w:val="1BDE0896"/>
    <w:rsid w:val="1BF0493A"/>
    <w:rsid w:val="1C004A47"/>
    <w:rsid w:val="1C0B07A6"/>
    <w:rsid w:val="1C1C4F1A"/>
    <w:rsid w:val="1C294ACB"/>
    <w:rsid w:val="1C3E5A1F"/>
    <w:rsid w:val="1C4C57FF"/>
    <w:rsid w:val="1C4F3541"/>
    <w:rsid w:val="1C662D65"/>
    <w:rsid w:val="1C7573D9"/>
    <w:rsid w:val="1C7A236C"/>
    <w:rsid w:val="1C8474D8"/>
    <w:rsid w:val="1CB13310"/>
    <w:rsid w:val="1CC979D3"/>
    <w:rsid w:val="1CD777BF"/>
    <w:rsid w:val="1CDC4DD5"/>
    <w:rsid w:val="1CE011BF"/>
    <w:rsid w:val="1CEE613C"/>
    <w:rsid w:val="1CFA0420"/>
    <w:rsid w:val="1D1D719C"/>
    <w:rsid w:val="1D1D7575"/>
    <w:rsid w:val="1D532BBD"/>
    <w:rsid w:val="1D604375"/>
    <w:rsid w:val="1DA578BD"/>
    <w:rsid w:val="1DAD35B6"/>
    <w:rsid w:val="1DB16111"/>
    <w:rsid w:val="1E0068A1"/>
    <w:rsid w:val="1E0A3384"/>
    <w:rsid w:val="1E1D38F7"/>
    <w:rsid w:val="1E46140E"/>
    <w:rsid w:val="1E4A3FC0"/>
    <w:rsid w:val="1E676920"/>
    <w:rsid w:val="1E9640D5"/>
    <w:rsid w:val="1EAC7F7A"/>
    <w:rsid w:val="1ECE699F"/>
    <w:rsid w:val="1F016D75"/>
    <w:rsid w:val="1F06438B"/>
    <w:rsid w:val="1F215001"/>
    <w:rsid w:val="1F4A26C0"/>
    <w:rsid w:val="1F582F19"/>
    <w:rsid w:val="1FD67160"/>
    <w:rsid w:val="1FE741BD"/>
    <w:rsid w:val="1FED5F05"/>
    <w:rsid w:val="20173F0C"/>
    <w:rsid w:val="20191E9C"/>
    <w:rsid w:val="20796DDF"/>
    <w:rsid w:val="207D067D"/>
    <w:rsid w:val="20A7394C"/>
    <w:rsid w:val="20B0742B"/>
    <w:rsid w:val="20B07673"/>
    <w:rsid w:val="20D65FDF"/>
    <w:rsid w:val="20E73FDC"/>
    <w:rsid w:val="20E95D13"/>
    <w:rsid w:val="21112E5D"/>
    <w:rsid w:val="21153DC5"/>
    <w:rsid w:val="2122506F"/>
    <w:rsid w:val="213B5E42"/>
    <w:rsid w:val="21515666"/>
    <w:rsid w:val="21535882"/>
    <w:rsid w:val="215947D8"/>
    <w:rsid w:val="215A276C"/>
    <w:rsid w:val="218912A4"/>
    <w:rsid w:val="21A83D12"/>
    <w:rsid w:val="21BC429F"/>
    <w:rsid w:val="21D54581"/>
    <w:rsid w:val="21F63227"/>
    <w:rsid w:val="22226997"/>
    <w:rsid w:val="22352B64"/>
    <w:rsid w:val="22464D50"/>
    <w:rsid w:val="228C06EB"/>
    <w:rsid w:val="228C4409"/>
    <w:rsid w:val="22D71F89"/>
    <w:rsid w:val="22D868D3"/>
    <w:rsid w:val="22EE5862"/>
    <w:rsid w:val="230865AC"/>
    <w:rsid w:val="231150AD"/>
    <w:rsid w:val="23675344"/>
    <w:rsid w:val="236E6FF8"/>
    <w:rsid w:val="23850189"/>
    <w:rsid w:val="23BE6B4B"/>
    <w:rsid w:val="23D60ACB"/>
    <w:rsid w:val="23F46EA8"/>
    <w:rsid w:val="24007AC0"/>
    <w:rsid w:val="244D65E7"/>
    <w:rsid w:val="24575689"/>
    <w:rsid w:val="245E2574"/>
    <w:rsid w:val="24877D1C"/>
    <w:rsid w:val="24992DAF"/>
    <w:rsid w:val="2506571D"/>
    <w:rsid w:val="252C028A"/>
    <w:rsid w:val="255045B2"/>
    <w:rsid w:val="25787665"/>
    <w:rsid w:val="25950217"/>
    <w:rsid w:val="259D70CC"/>
    <w:rsid w:val="25BB0AAA"/>
    <w:rsid w:val="25CE6CA7"/>
    <w:rsid w:val="25E74730"/>
    <w:rsid w:val="26061115"/>
    <w:rsid w:val="260E10FE"/>
    <w:rsid w:val="26261652"/>
    <w:rsid w:val="264810FF"/>
    <w:rsid w:val="26C540E2"/>
    <w:rsid w:val="26C62652"/>
    <w:rsid w:val="26D21EAD"/>
    <w:rsid w:val="26EF7DFB"/>
    <w:rsid w:val="270F12F9"/>
    <w:rsid w:val="271D59D0"/>
    <w:rsid w:val="27286E69"/>
    <w:rsid w:val="272D0F38"/>
    <w:rsid w:val="2760611B"/>
    <w:rsid w:val="27C11484"/>
    <w:rsid w:val="27D8088F"/>
    <w:rsid w:val="27FA5FF7"/>
    <w:rsid w:val="2826784C"/>
    <w:rsid w:val="282E191D"/>
    <w:rsid w:val="28393256"/>
    <w:rsid w:val="283C698F"/>
    <w:rsid w:val="28416434"/>
    <w:rsid w:val="284657F9"/>
    <w:rsid w:val="28520641"/>
    <w:rsid w:val="287E1436"/>
    <w:rsid w:val="28A6518C"/>
    <w:rsid w:val="28C01A4F"/>
    <w:rsid w:val="28C96CBB"/>
    <w:rsid w:val="28E43737"/>
    <w:rsid w:val="28EA2628"/>
    <w:rsid w:val="28FB2A87"/>
    <w:rsid w:val="291453F2"/>
    <w:rsid w:val="295771C4"/>
    <w:rsid w:val="29614AE4"/>
    <w:rsid w:val="29712A36"/>
    <w:rsid w:val="2973086F"/>
    <w:rsid w:val="29AC6A1D"/>
    <w:rsid w:val="29B03871"/>
    <w:rsid w:val="29CB2141"/>
    <w:rsid w:val="29FA2D3E"/>
    <w:rsid w:val="29FF4B88"/>
    <w:rsid w:val="2A0B547C"/>
    <w:rsid w:val="2A0C024B"/>
    <w:rsid w:val="2A1D4C7F"/>
    <w:rsid w:val="2A1E28C6"/>
    <w:rsid w:val="2A2C6C70"/>
    <w:rsid w:val="2A6C2367"/>
    <w:rsid w:val="2A862824"/>
    <w:rsid w:val="2AC624D6"/>
    <w:rsid w:val="2AF15A7A"/>
    <w:rsid w:val="2B0426A5"/>
    <w:rsid w:val="2B116592"/>
    <w:rsid w:val="2B141BDE"/>
    <w:rsid w:val="2B180563"/>
    <w:rsid w:val="2B4B6F96"/>
    <w:rsid w:val="2B62401D"/>
    <w:rsid w:val="2B813779"/>
    <w:rsid w:val="2B8F21F0"/>
    <w:rsid w:val="2B942D1F"/>
    <w:rsid w:val="2BB02D46"/>
    <w:rsid w:val="2BB90F47"/>
    <w:rsid w:val="2BB97D84"/>
    <w:rsid w:val="2BCE0689"/>
    <w:rsid w:val="2BD15D21"/>
    <w:rsid w:val="2BE03161"/>
    <w:rsid w:val="2BE05F64"/>
    <w:rsid w:val="2BF35C97"/>
    <w:rsid w:val="2C016606"/>
    <w:rsid w:val="2C063C1D"/>
    <w:rsid w:val="2C0B2F55"/>
    <w:rsid w:val="2C1005F7"/>
    <w:rsid w:val="2C2E2107"/>
    <w:rsid w:val="2C384B42"/>
    <w:rsid w:val="2C6018A8"/>
    <w:rsid w:val="2C73502A"/>
    <w:rsid w:val="2C737F26"/>
    <w:rsid w:val="2CA94D64"/>
    <w:rsid w:val="2CB01DDA"/>
    <w:rsid w:val="2CC969F8"/>
    <w:rsid w:val="2CE87E3E"/>
    <w:rsid w:val="2CF12C21"/>
    <w:rsid w:val="2CF96FB4"/>
    <w:rsid w:val="2D061C45"/>
    <w:rsid w:val="2D241F75"/>
    <w:rsid w:val="2D26209C"/>
    <w:rsid w:val="2D330463"/>
    <w:rsid w:val="2D366C89"/>
    <w:rsid w:val="2D483AF4"/>
    <w:rsid w:val="2D711922"/>
    <w:rsid w:val="2D995F29"/>
    <w:rsid w:val="2D9C02BF"/>
    <w:rsid w:val="2D9F1767"/>
    <w:rsid w:val="2DC05B9A"/>
    <w:rsid w:val="2DC0604D"/>
    <w:rsid w:val="2DC1251E"/>
    <w:rsid w:val="2DCC629E"/>
    <w:rsid w:val="2DD6761F"/>
    <w:rsid w:val="2E112405"/>
    <w:rsid w:val="2E1E4D06"/>
    <w:rsid w:val="2E9E25BD"/>
    <w:rsid w:val="2EAE2349"/>
    <w:rsid w:val="2EC5717E"/>
    <w:rsid w:val="2EF07656"/>
    <w:rsid w:val="2F0E4E31"/>
    <w:rsid w:val="2F236894"/>
    <w:rsid w:val="2F246BF9"/>
    <w:rsid w:val="2F285C58"/>
    <w:rsid w:val="2F566C69"/>
    <w:rsid w:val="2F6046B5"/>
    <w:rsid w:val="2F642EBB"/>
    <w:rsid w:val="2F9C74F7"/>
    <w:rsid w:val="2FA86D99"/>
    <w:rsid w:val="2FBB4D1E"/>
    <w:rsid w:val="2FE80256"/>
    <w:rsid w:val="2FFA3A98"/>
    <w:rsid w:val="2FFD0189"/>
    <w:rsid w:val="300C557A"/>
    <w:rsid w:val="302A5A00"/>
    <w:rsid w:val="303348B4"/>
    <w:rsid w:val="303705CB"/>
    <w:rsid w:val="30433499"/>
    <w:rsid w:val="304C3BC8"/>
    <w:rsid w:val="307849BD"/>
    <w:rsid w:val="307D0225"/>
    <w:rsid w:val="3089665D"/>
    <w:rsid w:val="30AC0D80"/>
    <w:rsid w:val="30B71989"/>
    <w:rsid w:val="30DA7426"/>
    <w:rsid w:val="30ED7159"/>
    <w:rsid w:val="30F71D86"/>
    <w:rsid w:val="30FA5FEE"/>
    <w:rsid w:val="30FF5EFC"/>
    <w:rsid w:val="31050127"/>
    <w:rsid w:val="31283ADD"/>
    <w:rsid w:val="313E192D"/>
    <w:rsid w:val="31413001"/>
    <w:rsid w:val="3192385D"/>
    <w:rsid w:val="31AA6DF8"/>
    <w:rsid w:val="31CA6FEB"/>
    <w:rsid w:val="31E17E6B"/>
    <w:rsid w:val="31EB11BF"/>
    <w:rsid w:val="31EE2735"/>
    <w:rsid w:val="31F36F75"/>
    <w:rsid w:val="31F91B2E"/>
    <w:rsid w:val="320329AC"/>
    <w:rsid w:val="320A370E"/>
    <w:rsid w:val="320F0AA4"/>
    <w:rsid w:val="322112BA"/>
    <w:rsid w:val="325E6763"/>
    <w:rsid w:val="32990C1B"/>
    <w:rsid w:val="32C24F9D"/>
    <w:rsid w:val="32C35957"/>
    <w:rsid w:val="32FA0324"/>
    <w:rsid w:val="33134E71"/>
    <w:rsid w:val="33242A7F"/>
    <w:rsid w:val="334E5A9F"/>
    <w:rsid w:val="337A0A4C"/>
    <w:rsid w:val="3381639C"/>
    <w:rsid w:val="33835B53"/>
    <w:rsid w:val="33A43D3B"/>
    <w:rsid w:val="33B331B5"/>
    <w:rsid w:val="33BB3FC3"/>
    <w:rsid w:val="33D50520"/>
    <w:rsid w:val="33E32377"/>
    <w:rsid w:val="33EF143A"/>
    <w:rsid w:val="34060532"/>
    <w:rsid w:val="341B5A49"/>
    <w:rsid w:val="342514E8"/>
    <w:rsid w:val="35064C8D"/>
    <w:rsid w:val="35694D08"/>
    <w:rsid w:val="3589141A"/>
    <w:rsid w:val="35B205C3"/>
    <w:rsid w:val="35B36598"/>
    <w:rsid w:val="35C67F79"/>
    <w:rsid w:val="35D46F87"/>
    <w:rsid w:val="35DA1C76"/>
    <w:rsid w:val="35DC0741"/>
    <w:rsid w:val="35E860CC"/>
    <w:rsid w:val="363219AB"/>
    <w:rsid w:val="364E6A9B"/>
    <w:rsid w:val="36533F02"/>
    <w:rsid w:val="36572D3F"/>
    <w:rsid w:val="365D08DD"/>
    <w:rsid w:val="3660217B"/>
    <w:rsid w:val="36634B09"/>
    <w:rsid w:val="36637357"/>
    <w:rsid w:val="36767BF1"/>
    <w:rsid w:val="369167D9"/>
    <w:rsid w:val="369C3F7E"/>
    <w:rsid w:val="36BE0654"/>
    <w:rsid w:val="36C46BAE"/>
    <w:rsid w:val="370945C1"/>
    <w:rsid w:val="37384DC5"/>
    <w:rsid w:val="3752696B"/>
    <w:rsid w:val="37597553"/>
    <w:rsid w:val="376965A9"/>
    <w:rsid w:val="37833A11"/>
    <w:rsid w:val="37851194"/>
    <w:rsid w:val="37894DEF"/>
    <w:rsid w:val="378C0D4E"/>
    <w:rsid w:val="37976071"/>
    <w:rsid w:val="37A97B52"/>
    <w:rsid w:val="37B87D95"/>
    <w:rsid w:val="37C77810"/>
    <w:rsid w:val="37E81288"/>
    <w:rsid w:val="380F690B"/>
    <w:rsid w:val="3812164A"/>
    <w:rsid w:val="381A63F5"/>
    <w:rsid w:val="38396895"/>
    <w:rsid w:val="386A72E1"/>
    <w:rsid w:val="388C054E"/>
    <w:rsid w:val="388E0998"/>
    <w:rsid w:val="38C033A5"/>
    <w:rsid w:val="390154AF"/>
    <w:rsid w:val="39073ED2"/>
    <w:rsid w:val="39093876"/>
    <w:rsid w:val="391758F5"/>
    <w:rsid w:val="392C4597"/>
    <w:rsid w:val="394915ED"/>
    <w:rsid w:val="39513FFD"/>
    <w:rsid w:val="3953201A"/>
    <w:rsid w:val="397F214F"/>
    <w:rsid w:val="39810D86"/>
    <w:rsid w:val="39B7228B"/>
    <w:rsid w:val="3A142705"/>
    <w:rsid w:val="3A1B7675"/>
    <w:rsid w:val="3A301E36"/>
    <w:rsid w:val="3A3302E2"/>
    <w:rsid w:val="3A4A1178"/>
    <w:rsid w:val="3A541787"/>
    <w:rsid w:val="3A6209E7"/>
    <w:rsid w:val="3AAA452C"/>
    <w:rsid w:val="3AD2116E"/>
    <w:rsid w:val="3AE0561C"/>
    <w:rsid w:val="3AFB06C4"/>
    <w:rsid w:val="3B11613A"/>
    <w:rsid w:val="3B153A8E"/>
    <w:rsid w:val="3B36136A"/>
    <w:rsid w:val="3B43343F"/>
    <w:rsid w:val="3B660234"/>
    <w:rsid w:val="3B6E1810"/>
    <w:rsid w:val="3B702E61"/>
    <w:rsid w:val="3B762441"/>
    <w:rsid w:val="3B9823B7"/>
    <w:rsid w:val="3BB276B2"/>
    <w:rsid w:val="3BC1546A"/>
    <w:rsid w:val="3BDC4BF4"/>
    <w:rsid w:val="3BE06C7E"/>
    <w:rsid w:val="3BE253E0"/>
    <w:rsid w:val="3BFA4E20"/>
    <w:rsid w:val="3C1A101E"/>
    <w:rsid w:val="3C314ADE"/>
    <w:rsid w:val="3C4D4F50"/>
    <w:rsid w:val="3C4E7CED"/>
    <w:rsid w:val="3C601127"/>
    <w:rsid w:val="3C613C0E"/>
    <w:rsid w:val="3C856F2B"/>
    <w:rsid w:val="3CEA09F1"/>
    <w:rsid w:val="3CEB6988"/>
    <w:rsid w:val="3CEC7805"/>
    <w:rsid w:val="3D4A6ED2"/>
    <w:rsid w:val="3D612090"/>
    <w:rsid w:val="3D807B1A"/>
    <w:rsid w:val="3D931088"/>
    <w:rsid w:val="3D9848F1"/>
    <w:rsid w:val="3D9A2417"/>
    <w:rsid w:val="3D9B618F"/>
    <w:rsid w:val="3DC0664E"/>
    <w:rsid w:val="3DC079A3"/>
    <w:rsid w:val="3DE1436E"/>
    <w:rsid w:val="3DE90CA8"/>
    <w:rsid w:val="3DEA4545"/>
    <w:rsid w:val="3DEB23F1"/>
    <w:rsid w:val="3DEC1BA3"/>
    <w:rsid w:val="3E012496"/>
    <w:rsid w:val="3E057E5C"/>
    <w:rsid w:val="3E0870F1"/>
    <w:rsid w:val="3E2B12C1"/>
    <w:rsid w:val="3E573E64"/>
    <w:rsid w:val="3E6E56EE"/>
    <w:rsid w:val="3E6F7B87"/>
    <w:rsid w:val="3E8E7DEC"/>
    <w:rsid w:val="3E916FCA"/>
    <w:rsid w:val="3E937510"/>
    <w:rsid w:val="3EA30D21"/>
    <w:rsid w:val="3EA37367"/>
    <w:rsid w:val="3EE03F1C"/>
    <w:rsid w:val="3EE84604"/>
    <w:rsid w:val="3EFE4C27"/>
    <w:rsid w:val="3F044850"/>
    <w:rsid w:val="3F223B34"/>
    <w:rsid w:val="3F2F1E2C"/>
    <w:rsid w:val="3F3142F6"/>
    <w:rsid w:val="3F327BFC"/>
    <w:rsid w:val="3F3C12AC"/>
    <w:rsid w:val="3F4F1C13"/>
    <w:rsid w:val="3F547054"/>
    <w:rsid w:val="3F6F78D3"/>
    <w:rsid w:val="3F71532A"/>
    <w:rsid w:val="3F737426"/>
    <w:rsid w:val="3F775B93"/>
    <w:rsid w:val="3F8D5C9F"/>
    <w:rsid w:val="3FB928FC"/>
    <w:rsid w:val="4001677D"/>
    <w:rsid w:val="40086045"/>
    <w:rsid w:val="402828F4"/>
    <w:rsid w:val="40430557"/>
    <w:rsid w:val="405A5E8D"/>
    <w:rsid w:val="4061225A"/>
    <w:rsid w:val="40A9536C"/>
    <w:rsid w:val="40CB1356"/>
    <w:rsid w:val="40CE503D"/>
    <w:rsid w:val="40DA6FCE"/>
    <w:rsid w:val="41001EB1"/>
    <w:rsid w:val="41365B3D"/>
    <w:rsid w:val="41511846"/>
    <w:rsid w:val="416C170D"/>
    <w:rsid w:val="4172527C"/>
    <w:rsid w:val="418C02C8"/>
    <w:rsid w:val="419B675D"/>
    <w:rsid w:val="41A05B22"/>
    <w:rsid w:val="41A5138A"/>
    <w:rsid w:val="41B14053"/>
    <w:rsid w:val="41B85EB6"/>
    <w:rsid w:val="41EF2605"/>
    <w:rsid w:val="42312C1E"/>
    <w:rsid w:val="423B584A"/>
    <w:rsid w:val="42531754"/>
    <w:rsid w:val="42750D64"/>
    <w:rsid w:val="42A96B18"/>
    <w:rsid w:val="42BD2703"/>
    <w:rsid w:val="42D23768"/>
    <w:rsid w:val="42D53D7E"/>
    <w:rsid w:val="42E5074D"/>
    <w:rsid w:val="43164FEF"/>
    <w:rsid w:val="432E070E"/>
    <w:rsid w:val="434626F9"/>
    <w:rsid w:val="43566DE0"/>
    <w:rsid w:val="436A16A6"/>
    <w:rsid w:val="43785ED1"/>
    <w:rsid w:val="437F530D"/>
    <w:rsid w:val="438A12F4"/>
    <w:rsid w:val="43BE2B29"/>
    <w:rsid w:val="43CF45BC"/>
    <w:rsid w:val="43D321DE"/>
    <w:rsid w:val="43F403A7"/>
    <w:rsid w:val="44055CF9"/>
    <w:rsid w:val="44120BB1"/>
    <w:rsid w:val="444829E0"/>
    <w:rsid w:val="445B5DD8"/>
    <w:rsid w:val="44623562"/>
    <w:rsid w:val="44655E14"/>
    <w:rsid w:val="4467501D"/>
    <w:rsid w:val="449A0F4E"/>
    <w:rsid w:val="449F5DD3"/>
    <w:rsid w:val="44DC42BA"/>
    <w:rsid w:val="44ED2FD3"/>
    <w:rsid w:val="44ED5522"/>
    <w:rsid w:val="44F67147"/>
    <w:rsid w:val="4509503D"/>
    <w:rsid w:val="45326895"/>
    <w:rsid w:val="45446354"/>
    <w:rsid w:val="455F7AA2"/>
    <w:rsid w:val="45644F92"/>
    <w:rsid w:val="458F0387"/>
    <w:rsid w:val="464E1FF0"/>
    <w:rsid w:val="46607F75"/>
    <w:rsid w:val="46730342"/>
    <w:rsid w:val="467414CE"/>
    <w:rsid w:val="46824E5A"/>
    <w:rsid w:val="46D973C9"/>
    <w:rsid w:val="46EF6F8D"/>
    <w:rsid w:val="47046B53"/>
    <w:rsid w:val="470E1780"/>
    <w:rsid w:val="47356E70"/>
    <w:rsid w:val="479C7DAA"/>
    <w:rsid w:val="47B16162"/>
    <w:rsid w:val="47DC362C"/>
    <w:rsid w:val="47EB37C9"/>
    <w:rsid w:val="480C40F9"/>
    <w:rsid w:val="481E1B94"/>
    <w:rsid w:val="482753AB"/>
    <w:rsid w:val="482F7BFF"/>
    <w:rsid w:val="48461DA8"/>
    <w:rsid w:val="48482A6F"/>
    <w:rsid w:val="48592243"/>
    <w:rsid w:val="48592ECE"/>
    <w:rsid w:val="485D0ECC"/>
    <w:rsid w:val="48677399"/>
    <w:rsid w:val="486907AD"/>
    <w:rsid w:val="48741AB6"/>
    <w:rsid w:val="488100CD"/>
    <w:rsid w:val="489857A5"/>
    <w:rsid w:val="489D2DBB"/>
    <w:rsid w:val="48C04CFB"/>
    <w:rsid w:val="48C7550C"/>
    <w:rsid w:val="48F13107"/>
    <w:rsid w:val="49064A23"/>
    <w:rsid w:val="490B241B"/>
    <w:rsid w:val="491C0184"/>
    <w:rsid w:val="492B175F"/>
    <w:rsid w:val="493D08D6"/>
    <w:rsid w:val="49543DC1"/>
    <w:rsid w:val="49773DAE"/>
    <w:rsid w:val="49AE00AE"/>
    <w:rsid w:val="49B605D8"/>
    <w:rsid w:val="49BC2509"/>
    <w:rsid w:val="49F25388"/>
    <w:rsid w:val="49F770B6"/>
    <w:rsid w:val="4A02381D"/>
    <w:rsid w:val="4A225C6E"/>
    <w:rsid w:val="4A280C46"/>
    <w:rsid w:val="4A3C09D0"/>
    <w:rsid w:val="4A5144F5"/>
    <w:rsid w:val="4A832F04"/>
    <w:rsid w:val="4A9F72BE"/>
    <w:rsid w:val="4AF13892"/>
    <w:rsid w:val="4AF762F7"/>
    <w:rsid w:val="4B022911"/>
    <w:rsid w:val="4B0C73E6"/>
    <w:rsid w:val="4B33219C"/>
    <w:rsid w:val="4B3F45FD"/>
    <w:rsid w:val="4B693428"/>
    <w:rsid w:val="4B6A1E13"/>
    <w:rsid w:val="4BAF37F7"/>
    <w:rsid w:val="4BB40B47"/>
    <w:rsid w:val="4BC52D55"/>
    <w:rsid w:val="4BCD169B"/>
    <w:rsid w:val="4BD9235C"/>
    <w:rsid w:val="4BE70EF5"/>
    <w:rsid w:val="4BF76C86"/>
    <w:rsid w:val="4C0D05F7"/>
    <w:rsid w:val="4C253ED6"/>
    <w:rsid w:val="4C405C18"/>
    <w:rsid w:val="4C505F95"/>
    <w:rsid w:val="4C6940F1"/>
    <w:rsid w:val="4C785E03"/>
    <w:rsid w:val="4C8E208B"/>
    <w:rsid w:val="4CA30709"/>
    <w:rsid w:val="4CCD5AED"/>
    <w:rsid w:val="4CD34FFD"/>
    <w:rsid w:val="4CDF1BF4"/>
    <w:rsid w:val="4CE459C5"/>
    <w:rsid w:val="4CFF2296"/>
    <w:rsid w:val="4D072EF9"/>
    <w:rsid w:val="4D337862"/>
    <w:rsid w:val="4D4D1254"/>
    <w:rsid w:val="4D722A68"/>
    <w:rsid w:val="4D925B1F"/>
    <w:rsid w:val="4D9D6B08"/>
    <w:rsid w:val="4DAB5F7A"/>
    <w:rsid w:val="4DB937C7"/>
    <w:rsid w:val="4DC82688"/>
    <w:rsid w:val="4DDC2416"/>
    <w:rsid w:val="4E131ACC"/>
    <w:rsid w:val="4E7445BE"/>
    <w:rsid w:val="4E9407BC"/>
    <w:rsid w:val="4E9A3978"/>
    <w:rsid w:val="4E9D1D67"/>
    <w:rsid w:val="4EAB356F"/>
    <w:rsid w:val="4EB57961"/>
    <w:rsid w:val="4EC13F43"/>
    <w:rsid w:val="4ECF13C9"/>
    <w:rsid w:val="4ED8534D"/>
    <w:rsid w:val="4F100246"/>
    <w:rsid w:val="4F3A21CB"/>
    <w:rsid w:val="4F3B63E4"/>
    <w:rsid w:val="4F3D0E54"/>
    <w:rsid w:val="4F400944"/>
    <w:rsid w:val="4F4072EC"/>
    <w:rsid w:val="4F5023DA"/>
    <w:rsid w:val="4F5519E2"/>
    <w:rsid w:val="4F724648"/>
    <w:rsid w:val="4F9F47EA"/>
    <w:rsid w:val="4FFC2ABD"/>
    <w:rsid w:val="50083210"/>
    <w:rsid w:val="501446FD"/>
    <w:rsid w:val="502838B2"/>
    <w:rsid w:val="5033485E"/>
    <w:rsid w:val="504306EC"/>
    <w:rsid w:val="50441BF3"/>
    <w:rsid w:val="50631D4D"/>
    <w:rsid w:val="50720FD1"/>
    <w:rsid w:val="50760AC1"/>
    <w:rsid w:val="508807F5"/>
    <w:rsid w:val="50920ED6"/>
    <w:rsid w:val="50AD3DB7"/>
    <w:rsid w:val="50BB2978"/>
    <w:rsid w:val="50BE6DE5"/>
    <w:rsid w:val="51071719"/>
    <w:rsid w:val="51190299"/>
    <w:rsid w:val="511F6F5C"/>
    <w:rsid w:val="51217A74"/>
    <w:rsid w:val="51237AAF"/>
    <w:rsid w:val="51354F21"/>
    <w:rsid w:val="51450494"/>
    <w:rsid w:val="51857589"/>
    <w:rsid w:val="51C615D4"/>
    <w:rsid w:val="51EB103B"/>
    <w:rsid w:val="520B5239"/>
    <w:rsid w:val="52102850"/>
    <w:rsid w:val="52171194"/>
    <w:rsid w:val="521A2D60"/>
    <w:rsid w:val="52240AA0"/>
    <w:rsid w:val="52494C00"/>
    <w:rsid w:val="52904DEF"/>
    <w:rsid w:val="52911BE2"/>
    <w:rsid w:val="52F1442F"/>
    <w:rsid w:val="53155E76"/>
    <w:rsid w:val="53492B23"/>
    <w:rsid w:val="534C78B7"/>
    <w:rsid w:val="539F192F"/>
    <w:rsid w:val="53B01CF2"/>
    <w:rsid w:val="541A0123"/>
    <w:rsid w:val="5463135D"/>
    <w:rsid w:val="54640C31"/>
    <w:rsid w:val="54790B80"/>
    <w:rsid w:val="548D63DA"/>
    <w:rsid w:val="54A379AB"/>
    <w:rsid w:val="54D66671"/>
    <w:rsid w:val="54D933CD"/>
    <w:rsid w:val="54EF2BF0"/>
    <w:rsid w:val="550A4368"/>
    <w:rsid w:val="55355BDF"/>
    <w:rsid w:val="553F41FA"/>
    <w:rsid w:val="555313D1"/>
    <w:rsid w:val="55823A64"/>
    <w:rsid w:val="55EE2161"/>
    <w:rsid w:val="561E0534"/>
    <w:rsid w:val="562A41F7"/>
    <w:rsid w:val="565D1DDC"/>
    <w:rsid w:val="567B1C1A"/>
    <w:rsid w:val="568E6439"/>
    <w:rsid w:val="56C667BE"/>
    <w:rsid w:val="56D976B4"/>
    <w:rsid w:val="56DB5BC3"/>
    <w:rsid w:val="56F24B88"/>
    <w:rsid w:val="56F73A0D"/>
    <w:rsid w:val="56FE00DA"/>
    <w:rsid w:val="571132F2"/>
    <w:rsid w:val="571164F6"/>
    <w:rsid w:val="571679F1"/>
    <w:rsid w:val="571A713B"/>
    <w:rsid w:val="571D6CF2"/>
    <w:rsid w:val="574B7E86"/>
    <w:rsid w:val="57565351"/>
    <w:rsid w:val="575B4C3B"/>
    <w:rsid w:val="576553EC"/>
    <w:rsid w:val="57811AFA"/>
    <w:rsid w:val="57835872"/>
    <w:rsid w:val="57845D25"/>
    <w:rsid w:val="57A852D8"/>
    <w:rsid w:val="57BA40CB"/>
    <w:rsid w:val="57DF519E"/>
    <w:rsid w:val="580544D9"/>
    <w:rsid w:val="58123253"/>
    <w:rsid w:val="58675193"/>
    <w:rsid w:val="588303AC"/>
    <w:rsid w:val="588B4C8B"/>
    <w:rsid w:val="58A261CC"/>
    <w:rsid w:val="58E54CC3"/>
    <w:rsid w:val="590D1127"/>
    <w:rsid w:val="590F5E8A"/>
    <w:rsid w:val="59396B30"/>
    <w:rsid w:val="59480B21"/>
    <w:rsid w:val="595D13D8"/>
    <w:rsid w:val="59771406"/>
    <w:rsid w:val="598C3104"/>
    <w:rsid w:val="59A2301C"/>
    <w:rsid w:val="59B51489"/>
    <w:rsid w:val="59D61B39"/>
    <w:rsid w:val="59D85DF8"/>
    <w:rsid w:val="59E06C63"/>
    <w:rsid w:val="5A2279A0"/>
    <w:rsid w:val="5A282BA3"/>
    <w:rsid w:val="5A292701"/>
    <w:rsid w:val="5A2E1B19"/>
    <w:rsid w:val="5A2F3A8F"/>
    <w:rsid w:val="5A3E3CD2"/>
    <w:rsid w:val="5A8A2B8D"/>
    <w:rsid w:val="5AD703AE"/>
    <w:rsid w:val="5ADA1C4D"/>
    <w:rsid w:val="5ADF3707"/>
    <w:rsid w:val="5AF0321E"/>
    <w:rsid w:val="5AF7771D"/>
    <w:rsid w:val="5AFE1DDF"/>
    <w:rsid w:val="5B033869"/>
    <w:rsid w:val="5B1E0E25"/>
    <w:rsid w:val="5B774531"/>
    <w:rsid w:val="5BAD110F"/>
    <w:rsid w:val="5BD26DC8"/>
    <w:rsid w:val="5C433822"/>
    <w:rsid w:val="5C462241"/>
    <w:rsid w:val="5C4868CC"/>
    <w:rsid w:val="5C974299"/>
    <w:rsid w:val="5CB169DD"/>
    <w:rsid w:val="5CB26CD5"/>
    <w:rsid w:val="5CB828E2"/>
    <w:rsid w:val="5CFF3299"/>
    <w:rsid w:val="5D0E3E30"/>
    <w:rsid w:val="5D616655"/>
    <w:rsid w:val="5D621401"/>
    <w:rsid w:val="5D6B7EBD"/>
    <w:rsid w:val="5D722610"/>
    <w:rsid w:val="5DCA7D57"/>
    <w:rsid w:val="5DE27796"/>
    <w:rsid w:val="5DE352BC"/>
    <w:rsid w:val="5DE4727B"/>
    <w:rsid w:val="5DF247AE"/>
    <w:rsid w:val="5E5166CA"/>
    <w:rsid w:val="5E714676"/>
    <w:rsid w:val="5E9860A7"/>
    <w:rsid w:val="5E9D7136"/>
    <w:rsid w:val="5EAC3900"/>
    <w:rsid w:val="5EB266CD"/>
    <w:rsid w:val="5EB427B5"/>
    <w:rsid w:val="5EB872A8"/>
    <w:rsid w:val="5EC549C2"/>
    <w:rsid w:val="5EEC63F2"/>
    <w:rsid w:val="5F3538F6"/>
    <w:rsid w:val="5F5928DB"/>
    <w:rsid w:val="5F6D4899"/>
    <w:rsid w:val="5F771D87"/>
    <w:rsid w:val="5F7A13D9"/>
    <w:rsid w:val="5F930AF8"/>
    <w:rsid w:val="5FA840C8"/>
    <w:rsid w:val="5FC15189"/>
    <w:rsid w:val="5FC80BD7"/>
    <w:rsid w:val="5FD411DB"/>
    <w:rsid w:val="600A4D82"/>
    <w:rsid w:val="600F2399"/>
    <w:rsid w:val="602816AC"/>
    <w:rsid w:val="60794FF2"/>
    <w:rsid w:val="607A1B92"/>
    <w:rsid w:val="60936B26"/>
    <w:rsid w:val="60AA20C1"/>
    <w:rsid w:val="60AF1486"/>
    <w:rsid w:val="60B6293A"/>
    <w:rsid w:val="60D630E7"/>
    <w:rsid w:val="60DD7536"/>
    <w:rsid w:val="60E46F03"/>
    <w:rsid w:val="61220E83"/>
    <w:rsid w:val="61300818"/>
    <w:rsid w:val="6131633F"/>
    <w:rsid w:val="613A45BD"/>
    <w:rsid w:val="61512DC3"/>
    <w:rsid w:val="61572249"/>
    <w:rsid w:val="617D3332"/>
    <w:rsid w:val="61AF635B"/>
    <w:rsid w:val="61C92272"/>
    <w:rsid w:val="61D70C94"/>
    <w:rsid w:val="61DB5A7C"/>
    <w:rsid w:val="61ED495B"/>
    <w:rsid w:val="623616DF"/>
    <w:rsid w:val="62407431"/>
    <w:rsid w:val="62450C5C"/>
    <w:rsid w:val="626B78E0"/>
    <w:rsid w:val="62743409"/>
    <w:rsid w:val="6280757E"/>
    <w:rsid w:val="62882B1C"/>
    <w:rsid w:val="628E03BF"/>
    <w:rsid w:val="62A0552A"/>
    <w:rsid w:val="62E80B16"/>
    <w:rsid w:val="62F835B8"/>
    <w:rsid w:val="630F26B0"/>
    <w:rsid w:val="630F506C"/>
    <w:rsid w:val="63144C61"/>
    <w:rsid w:val="63273E9D"/>
    <w:rsid w:val="63424833"/>
    <w:rsid w:val="634379A6"/>
    <w:rsid w:val="637C7D45"/>
    <w:rsid w:val="637F7680"/>
    <w:rsid w:val="63A80222"/>
    <w:rsid w:val="63AB23D8"/>
    <w:rsid w:val="63AC3405"/>
    <w:rsid w:val="63B70D7D"/>
    <w:rsid w:val="63C57AD8"/>
    <w:rsid w:val="63DC0629"/>
    <w:rsid w:val="63FB4D53"/>
    <w:rsid w:val="640A735C"/>
    <w:rsid w:val="643E1DDB"/>
    <w:rsid w:val="644C3818"/>
    <w:rsid w:val="646B538C"/>
    <w:rsid w:val="647D600E"/>
    <w:rsid w:val="64B82FFF"/>
    <w:rsid w:val="64DC3A26"/>
    <w:rsid w:val="64DF6129"/>
    <w:rsid w:val="64E20E23"/>
    <w:rsid w:val="64F14763"/>
    <w:rsid w:val="64F222AF"/>
    <w:rsid w:val="651C3508"/>
    <w:rsid w:val="652C50A4"/>
    <w:rsid w:val="652E7A0E"/>
    <w:rsid w:val="65312DB1"/>
    <w:rsid w:val="653E102A"/>
    <w:rsid w:val="653F54CE"/>
    <w:rsid w:val="65875F01"/>
    <w:rsid w:val="6588405D"/>
    <w:rsid w:val="65AE016F"/>
    <w:rsid w:val="65D86BEF"/>
    <w:rsid w:val="660202AA"/>
    <w:rsid w:val="66090676"/>
    <w:rsid w:val="661C7ED9"/>
    <w:rsid w:val="664072C6"/>
    <w:rsid w:val="665925BF"/>
    <w:rsid w:val="669E5544"/>
    <w:rsid w:val="66AA6977"/>
    <w:rsid w:val="66B34B97"/>
    <w:rsid w:val="66BC0BE7"/>
    <w:rsid w:val="66CC0FE3"/>
    <w:rsid w:val="66CC2D91"/>
    <w:rsid w:val="66D37220"/>
    <w:rsid w:val="66FD5574"/>
    <w:rsid w:val="66FE4C4B"/>
    <w:rsid w:val="67241546"/>
    <w:rsid w:val="67317098"/>
    <w:rsid w:val="67363981"/>
    <w:rsid w:val="674535A5"/>
    <w:rsid w:val="6764746E"/>
    <w:rsid w:val="67B37AAD"/>
    <w:rsid w:val="67E450A9"/>
    <w:rsid w:val="68091DC3"/>
    <w:rsid w:val="68212C69"/>
    <w:rsid w:val="68214B88"/>
    <w:rsid w:val="68224C33"/>
    <w:rsid w:val="685272C6"/>
    <w:rsid w:val="689B3FAD"/>
    <w:rsid w:val="68C55CEA"/>
    <w:rsid w:val="68D036B7"/>
    <w:rsid w:val="6906356D"/>
    <w:rsid w:val="69270753"/>
    <w:rsid w:val="692F053C"/>
    <w:rsid w:val="69430BDA"/>
    <w:rsid w:val="69473047"/>
    <w:rsid w:val="694A3E5D"/>
    <w:rsid w:val="69A262CD"/>
    <w:rsid w:val="69A41DA4"/>
    <w:rsid w:val="69B76692"/>
    <w:rsid w:val="69C17F22"/>
    <w:rsid w:val="69C34EFD"/>
    <w:rsid w:val="6A191710"/>
    <w:rsid w:val="6A5A10B5"/>
    <w:rsid w:val="6A6908F7"/>
    <w:rsid w:val="6ABC50DC"/>
    <w:rsid w:val="6AC23D01"/>
    <w:rsid w:val="6AD803A3"/>
    <w:rsid w:val="6AEF34F2"/>
    <w:rsid w:val="6AF74155"/>
    <w:rsid w:val="6AFD58BD"/>
    <w:rsid w:val="6B0C3C5A"/>
    <w:rsid w:val="6B0D4FFE"/>
    <w:rsid w:val="6B221C24"/>
    <w:rsid w:val="6B5B46E4"/>
    <w:rsid w:val="6B667A77"/>
    <w:rsid w:val="6B774D46"/>
    <w:rsid w:val="6B87372B"/>
    <w:rsid w:val="6B95391D"/>
    <w:rsid w:val="6BB107A8"/>
    <w:rsid w:val="6BD91AAD"/>
    <w:rsid w:val="6C1E7B69"/>
    <w:rsid w:val="6C6F1EA4"/>
    <w:rsid w:val="6C8B2DA7"/>
    <w:rsid w:val="6CA6400E"/>
    <w:rsid w:val="6CB57E24"/>
    <w:rsid w:val="6CCC3665"/>
    <w:rsid w:val="6D214429"/>
    <w:rsid w:val="6D324605"/>
    <w:rsid w:val="6D433682"/>
    <w:rsid w:val="6D627B71"/>
    <w:rsid w:val="6D716441"/>
    <w:rsid w:val="6D910891"/>
    <w:rsid w:val="6DB34AC8"/>
    <w:rsid w:val="6DC01C88"/>
    <w:rsid w:val="6E070B53"/>
    <w:rsid w:val="6E2E7ECC"/>
    <w:rsid w:val="6E3206D6"/>
    <w:rsid w:val="6E5642A5"/>
    <w:rsid w:val="6E602011"/>
    <w:rsid w:val="6E6243E1"/>
    <w:rsid w:val="6E95110E"/>
    <w:rsid w:val="6EB72579"/>
    <w:rsid w:val="6EC735FE"/>
    <w:rsid w:val="6ECA348F"/>
    <w:rsid w:val="6EF47329"/>
    <w:rsid w:val="6EF70BC7"/>
    <w:rsid w:val="6EF74724"/>
    <w:rsid w:val="6EFF42EB"/>
    <w:rsid w:val="6F203A84"/>
    <w:rsid w:val="6F2E3EBD"/>
    <w:rsid w:val="6F5558EE"/>
    <w:rsid w:val="6F5B1156"/>
    <w:rsid w:val="6F743FC6"/>
    <w:rsid w:val="6F751AEC"/>
    <w:rsid w:val="6F7F4719"/>
    <w:rsid w:val="6F832989"/>
    <w:rsid w:val="6F8A37EA"/>
    <w:rsid w:val="6F8A4B2B"/>
    <w:rsid w:val="6F8B0B99"/>
    <w:rsid w:val="6FA11970"/>
    <w:rsid w:val="6FB95E7D"/>
    <w:rsid w:val="6FC33ACF"/>
    <w:rsid w:val="6FCF56A0"/>
    <w:rsid w:val="6FD418AD"/>
    <w:rsid w:val="703B09BB"/>
    <w:rsid w:val="705A4C09"/>
    <w:rsid w:val="70617EC8"/>
    <w:rsid w:val="707A20B1"/>
    <w:rsid w:val="707E0282"/>
    <w:rsid w:val="70812E3F"/>
    <w:rsid w:val="708F4524"/>
    <w:rsid w:val="70991D7A"/>
    <w:rsid w:val="70E248CD"/>
    <w:rsid w:val="70F52EE5"/>
    <w:rsid w:val="712156AB"/>
    <w:rsid w:val="71285068"/>
    <w:rsid w:val="7161307A"/>
    <w:rsid w:val="716342F2"/>
    <w:rsid w:val="71681909"/>
    <w:rsid w:val="717D1BBD"/>
    <w:rsid w:val="7185070D"/>
    <w:rsid w:val="71B11502"/>
    <w:rsid w:val="71B22914"/>
    <w:rsid w:val="71D5345C"/>
    <w:rsid w:val="71E73175"/>
    <w:rsid w:val="72473C14"/>
    <w:rsid w:val="72750CA3"/>
    <w:rsid w:val="728409C4"/>
    <w:rsid w:val="72943314"/>
    <w:rsid w:val="7295792B"/>
    <w:rsid w:val="72A961B1"/>
    <w:rsid w:val="72C12EE0"/>
    <w:rsid w:val="72CE6C35"/>
    <w:rsid w:val="72F826A1"/>
    <w:rsid w:val="73010267"/>
    <w:rsid w:val="732F4EF7"/>
    <w:rsid w:val="734B3E2F"/>
    <w:rsid w:val="73522870"/>
    <w:rsid w:val="73696D7E"/>
    <w:rsid w:val="737C169B"/>
    <w:rsid w:val="737E7D7B"/>
    <w:rsid w:val="739015EB"/>
    <w:rsid w:val="73AA445A"/>
    <w:rsid w:val="73AF1221"/>
    <w:rsid w:val="73CC1F06"/>
    <w:rsid w:val="73D96AEE"/>
    <w:rsid w:val="73DA4614"/>
    <w:rsid w:val="73EA0CFB"/>
    <w:rsid w:val="74040D09"/>
    <w:rsid w:val="745F66ED"/>
    <w:rsid w:val="74826A17"/>
    <w:rsid w:val="74C07CAE"/>
    <w:rsid w:val="74E514C2"/>
    <w:rsid w:val="74E90725"/>
    <w:rsid w:val="74F00593"/>
    <w:rsid w:val="74F30675"/>
    <w:rsid w:val="74F51705"/>
    <w:rsid w:val="750078FB"/>
    <w:rsid w:val="75071439"/>
    <w:rsid w:val="75175B20"/>
    <w:rsid w:val="751C3E82"/>
    <w:rsid w:val="752635D2"/>
    <w:rsid w:val="752B5127"/>
    <w:rsid w:val="752F3287"/>
    <w:rsid w:val="7534591D"/>
    <w:rsid w:val="753C3B04"/>
    <w:rsid w:val="75790588"/>
    <w:rsid w:val="757B54AB"/>
    <w:rsid w:val="758331B5"/>
    <w:rsid w:val="759772D7"/>
    <w:rsid w:val="75BE243F"/>
    <w:rsid w:val="75C335B1"/>
    <w:rsid w:val="75C34064"/>
    <w:rsid w:val="75E02830"/>
    <w:rsid w:val="760746A1"/>
    <w:rsid w:val="761958C7"/>
    <w:rsid w:val="762640F9"/>
    <w:rsid w:val="767679C0"/>
    <w:rsid w:val="7682346D"/>
    <w:rsid w:val="768B79A1"/>
    <w:rsid w:val="76CB4EF4"/>
    <w:rsid w:val="76D55916"/>
    <w:rsid w:val="76F61765"/>
    <w:rsid w:val="772A140E"/>
    <w:rsid w:val="775D7F99"/>
    <w:rsid w:val="777D1E86"/>
    <w:rsid w:val="77935205"/>
    <w:rsid w:val="77940F04"/>
    <w:rsid w:val="779B7915"/>
    <w:rsid w:val="77F14573"/>
    <w:rsid w:val="77FF289B"/>
    <w:rsid w:val="78101336"/>
    <w:rsid w:val="781A0349"/>
    <w:rsid w:val="7827085A"/>
    <w:rsid w:val="7855323B"/>
    <w:rsid w:val="78A25FC3"/>
    <w:rsid w:val="78A70F68"/>
    <w:rsid w:val="78A74E1C"/>
    <w:rsid w:val="78AC2A23"/>
    <w:rsid w:val="78B33A12"/>
    <w:rsid w:val="78B410C1"/>
    <w:rsid w:val="78CC4217"/>
    <w:rsid w:val="78F14974"/>
    <w:rsid w:val="7917715F"/>
    <w:rsid w:val="795C4A93"/>
    <w:rsid w:val="797057FE"/>
    <w:rsid w:val="79A60B66"/>
    <w:rsid w:val="79AD76D8"/>
    <w:rsid w:val="79C142AC"/>
    <w:rsid w:val="79D73ACF"/>
    <w:rsid w:val="79DA66F5"/>
    <w:rsid w:val="79E35140"/>
    <w:rsid w:val="7A066163"/>
    <w:rsid w:val="7A1F5BDD"/>
    <w:rsid w:val="7A230AC3"/>
    <w:rsid w:val="7A2D7B93"/>
    <w:rsid w:val="7A3743B5"/>
    <w:rsid w:val="7A4131B6"/>
    <w:rsid w:val="7A55402C"/>
    <w:rsid w:val="7A756769"/>
    <w:rsid w:val="7A791842"/>
    <w:rsid w:val="7A7E1F85"/>
    <w:rsid w:val="7A9521FB"/>
    <w:rsid w:val="7A980753"/>
    <w:rsid w:val="7AA5597C"/>
    <w:rsid w:val="7ACE4ED2"/>
    <w:rsid w:val="7AE04C06"/>
    <w:rsid w:val="7AE75F94"/>
    <w:rsid w:val="7AEA5A84"/>
    <w:rsid w:val="7AF95CC7"/>
    <w:rsid w:val="7B474C85"/>
    <w:rsid w:val="7B4A4AE8"/>
    <w:rsid w:val="7B512E8E"/>
    <w:rsid w:val="7B711D02"/>
    <w:rsid w:val="7B713AB0"/>
    <w:rsid w:val="7B7703D1"/>
    <w:rsid w:val="7B95105C"/>
    <w:rsid w:val="7BBA5457"/>
    <w:rsid w:val="7BE95A94"/>
    <w:rsid w:val="7BF5648F"/>
    <w:rsid w:val="7BFF3890"/>
    <w:rsid w:val="7C272341"/>
    <w:rsid w:val="7C5E5DE2"/>
    <w:rsid w:val="7C63164A"/>
    <w:rsid w:val="7C8204B4"/>
    <w:rsid w:val="7CBD2C36"/>
    <w:rsid w:val="7CD3115D"/>
    <w:rsid w:val="7CFB1883"/>
    <w:rsid w:val="7CFBD1B6"/>
    <w:rsid w:val="7D1444F3"/>
    <w:rsid w:val="7D412A8D"/>
    <w:rsid w:val="7D576338"/>
    <w:rsid w:val="7D580E3B"/>
    <w:rsid w:val="7D58558B"/>
    <w:rsid w:val="7D731D61"/>
    <w:rsid w:val="7D9F4904"/>
    <w:rsid w:val="7DA22646"/>
    <w:rsid w:val="7DA95783"/>
    <w:rsid w:val="7DAE4B47"/>
    <w:rsid w:val="7DD86068"/>
    <w:rsid w:val="7DE71E07"/>
    <w:rsid w:val="7DF52673"/>
    <w:rsid w:val="7E453AB3"/>
    <w:rsid w:val="7E4E5490"/>
    <w:rsid w:val="7E524281"/>
    <w:rsid w:val="7E7E5E60"/>
    <w:rsid w:val="7E924469"/>
    <w:rsid w:val="7EB119B6"/>
    <w:rsid w:val="7EC55276"/>
    <w:rsid w:val="7EC565EC"/>
    <w:rsid w:val="7EC81C39"/>
    <w:rsid w:val="7F086780"/>
    <w:rsid w:val="7F477001"/>
    <w:rsid w:val="7F5B0B7E"/>
    <w:rsid w:val="7F8C2C66"/>
    <w:rsid w:val="7F9703BE"/>
    <w:rsid w:val="7FAA5E00"/>
    <w:rsid w:val="7FB977D3"/>
    <w:rsid w:val="7FBC6124"/>
    <w:rsid w:val="7FBE4DEA"/>
    <w:rsid w:val="DFDA3238"/>
    <w:rsid w:val="FBEFC1C6"/>
    <w:rsid w:val="FFD7E5B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autoRedefine/>
    <w:qFormat/>
    <w:uiPriority w:val="0"/>
    <w:pPr>
      <w:keepNext/>
      <w:tabs>
        <w:tab w:val="left" w:pos="3360"/>
      </w:tabs>
      <w:snapToGrid w:val="0"/>
      <w:spacing w:before="312" w:beforeLines="100" w:after="156" w:afterLines="50" w:line="800" w:lineRule="atLeast"/>
      <w:jc w:val="center"/>
      <w:outlineLvl w:val="0"/>
    </w:pPr>
    <w:rPr>
      <w:rFonts w:eastAsia="黑体"/>
      <w:sz w:val="44"/>
    </w:rPr>
  </w:style>
  <w:style w:type="paragraph" w:styleId="3">
    <w:name w:val="heading 2"/>
    <w:basedOn w:val="1"/>
    <w:next w:val="1"/>
    <w:link w:val="41"/>
    <w:autoRedefine/>
    <w:qFormat/>
    <w:uiPriority w:val="0"/>
    <w:pPr>
      <w:keepNext/>
      <w:keepLines/>
      <w:adjustRightInd w:val="0"/>
      <w:snapToGrid w:val="0"/>
      <w:spacing w:line="360" w:lineRule="auto"/>
      <w:outlineLvl w:val="1"/>
    </w:pPr>
    <w:rPr>
      <w:rFonts w:ascii="宋体" w:hAnsi="宋体"/>
    </w:rPr>
  </w:style>
  <w:style w:type="paragraph" w:styleId="4">
    <w:name w:val="heading 3"/>
    <w:basedOn w:val="1"/>
    <w:next w:val="1"/>
    <w:link w:val="42"/>
    <w:autoRedefine/>
    <w:qFormat/>
    <w:uiPriority w:val="0"/>
    <w:pPr>
      <w:keepNext/>
      <w:keepLines/>
      <w:spacing w:before="260" w:after="260" w:line="413" w:lineRule="auto"/>
      <w:jc w:val="center"/>
      <w:outlineLvl w:val="2"/>
    </w:pPr>
    <w:rPr>
      <w:b/>
      <w:sz w:val="44"/>
    </w:rPr>
  </w:style>
  <w:style w:type="paragraph" w:styleId="5">
    <w:name w:val="heading 4"/>
    <w:basedOn w:val="1"/>
    <w:next w:val="1"/>
    <w:qFormat/>
    <w:uiPriority w:val="0"/>
    <w:pPr>
      <w:keepNext/>
      <w:keepLines/>
      <w:spacing w:before="280" w:after="290" w:line="372" w:lineRule="auto"/>
      <w:outlineLvl w:val="3"/>
    </w:pPr>
    <w:rPr>
      <w:rFonts w:ascii="Arial" w:hAnsi="Arial" w:eastAsia="黑体"/>
      <w:b/>
    </w:rPr>
  </w:style>
  <w:style w:type="character" w:default="1" w:styleId="26">
    <w:name w:val="Default Paragraph Font"/>
    <w:autoRedefine/>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djustRightInd w:val="0"/>
      <w:snapToGrid w:val="0"/>
      <w:spacing w:line="360" w:lineRule="auto"/>
      <w:ind w:firstLine="420"/>
    </w:pPr>
    <w:rPr>
      <w:sz w:val="24"/>
    </w:rPr>
  </w:style>
  <w:style w:type="paragraph" w:styleId="7">
    <w:name w:val="toa heading"/>
    <w:basedOn w:val="1"/>
    <w:next w:val="1"/>
    <w:autoRedefine/>
    <w:qFormat/>
    <w:uiPriority w:val="0"/>
    <w:pPr>
      <w:spacing w:before="120"/>
    </w:pPr>
    <w:rPr>
      <w:rFonts w:ascii="Arial" w:hAnsi="Arial"/>
      <w:sz w:val="24"/>
    </w:rPr>
  </w:style>
  <w:style w:type="paragraph" w:styleId="8">
    <w:name w:val="annotation text"/>
    <w:basedOn w:val="1"/>
    <w:link w:val="43"/>
    <w:autoRedefine/>
    <w:qFormat/>
    <w:uiPriority w:val="0"/>
    <w:pPr>
      <w:jc w:val="left"/>
    </w:pPr>
  </w:style>
  <w:style w:type="paragraph" w:styleId="9">
    <w:name w:val="Body Text"/>
    <w:basedOn w:val="1"/>
    <w:next w:val="10"/>
    <w:autoRedefine/>
    <w:qFormat/>
    <w:uiPriority w:val="0"/>
  </w:style>
  <w:style w:type="paragraph" w:styleId="10">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11">
    <w:name w:val="Body Text Indent"/>
    <w:basedOn w:val="1"/>
    <w:autoRedefine/>
    <w:qFormat/>
    <w:uiPriority w:val="0"/>
    <w:pPr>
      <w:spacing w:line="700" w:lineRule="exact"/>
      <w:ind w:left="960"/>
    </w:pPr>
    <w:rPr>
      <w:sz w:val="44"/>
    </w:rPr>
  </w:style>
  <w:style w:type="paragraph" w:styleId="12">
    <w:name w:val="Plain Text"/>
    <w:basedOn w:val="1"/>
    <w:qFormat/>
    <w:uiPriority w:val="0"/>
    <w:rPr>
      <w:rFonts w:hAnsi="Courier New"/>
      <w:kern w:val="0"/>
      <w:sz w:val="20"/>
      <w:szCs w:val="20"/>
    </w:rPr>
  </w:style>
  <w:style w:type="paragraph" w:styleId="13">
    <w:name w:val="Date"/>
    <w:basedOn w:val="1"/>
    <w:next w:val="1"/>
    <w:qFormat/>
    <w:uiPriority w:val="0"/>
  </w:style>
  <w:style w:type="paragraph" w:styleId="14">
    <w:name w:val="Body Text Indent 2"/>
    <w:basedOn w:val="1"/>
    <w:autoRedefine/>
    <w:qFormat/>
    <w:uiPriority w:val="99"/>
    <w:pPr>
      <w:snapToGrid w:val="0"/>
      <w:spacing w:line="560" w:lineRule="atLeast"/>
      <w:ind w:firstLine="540"/>
    </w:pPr>
  </w:style>
  <w:style w:type="paragraph" w:styleId="15">
    <w:name w:val="Balloon Text"/>
    <w:basedOn w:val="1"/>
    <w:qFormat/>
    <w:uiPriority w:val="0"/>
    <w:rPr>
      <w:sz w:val="18"/>
    </w:rPr>
  </w:style>
  <w:style w:type="paragraph" w:styleId="16">
    <w:name w:val="footer"/>
    <w:basedOn w:val="1"/>
    <w:autoRedefine/>
    <w:qFormat/>
    <w:uiPriority w:val="0"/>
    <w:pPr>
      <w:tabs>
        <w:tab w:val="center" w:pos="4153"/>
        <w:tab w:val="right" w:pos="8306"/>
      </w:tabs>
      <w:snapToGrid w:val="0"/>
      <w:jc w:val="left"/>
    </w:pPr>
    <w:rPr>
      <w:rFonts w:eastAsia="宋体"/>
      <w:sz w:val="18"/>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rFonts w:eastAsia="宋体"/>
      <w:sz w:val="18"/>
    </w:rPr>
  </w:style>
  <w:style w:type="paragraph" w:styleId="18">
    <w:name w:val="toc 1"/>
    <w:basedOn w:val="1"/>
    <w:next w:val="1"/>
    <w:autoRedefine/>
    <w:qFormat/>
    <w:uiPriority w:val="39"/>
    <w:pPr>
      <w:tabs>
        <w:tab w:val="left" w:pos="1260"/>
        <w:tab w:val="left" w:pos="1685"/>
        <w:tab w:val="right" w:leader="dot" w:pos="8400"/>
      </w:tabs>
      <w:spacing w:line="320" w:lineRule="exact"/>
      <w:ind w:firstLine="280" w:firstLineChars="100"/>
    </w:pPr>
  </w:style>
  <w:style w:type="paragraph" w:styleId="19">
    <w:name w:val="toc 2"/>
    <w:basedOn w:val="1"/>
    <w:next w:val="1"/>
    <w:autoRedefine/>
    <w:qFormat/>
    <w:uiPriority w:val="39"/>
    <w:pPr>
      <w:tabs>
        <w:tab w:val="right" w:leader="dot" w:pos="8400"/>
      </w:tabs>
      <w:spacing w:line="440" w:lineRule="exact"/>
      <w:ind w:left="280" w:leftChars="100" w:right="-91" w:rightChars="-91"/>
    </w:pPr>
  </w:style>
  <w:style w:type="paragraph" w:styleId="20">
    <w:name w:val="Title"/>
    <w:basedOn w:val="1"/>
    <w:next w:val="1"/>
    <w:qFormat/>
    <w:uiPriority w:val="0"/>
    <w:pPr>
      <w:widowControl/>
      <w:spacing w:after="240" w:afterLines="0" w:afterAutospacing="0" w:line="360" w:lineRule="auto"/>
      <w:jc w:val="center"/>
    </w:pPr>
    <w:rPr>
      <w:rFonts w:ascii="Arial" w:hAnsi="Arial"/>
      <w:b/>
      <w:smallCaps/>
      <w:kern w:val="28"/>
      <w:sz w:val="36"/>
      <w:lang w:eastAsia="en-US"/>
    </w:rPr>
  </w:style>
  <w:style w:type="paragraph" w:styleId="21">
    <w:name w:val="annotation subject"/>
    <w:basedOn w:val="8"/>
    <w:next w:val="8"/>
    <w:link w:val="44"/>
    <w:autoRedefine/>
    <w:qFormat/>
    <w:uiPriority w:val="0"/>
    <w:rPr>
      <w:b/>
      <w:bCs/>
    </w:rPr>
  </w:style>
  <w:style w:type="paragraph" w:styleId="22">
    <w:name w:val="Body Text First Indent"/>
    <w:basedOn w:val="9"/>
    <w:next w:val="1"/>
    <w:autoRedefine/>
    <w:qFormat/>
    <w:uiPriority w:val="0"/>
    <w:pPr>
      <w:spacing w:line="360" w:lineRule="auto"/>
      <w:ind w:firstLine="420"/>
    </w:pPr>
    <w:rPr>
      <w:rFonts w:ascii="宋体" w:hAnsi="宋体"/>
      <w:sz w:val="24"/>
    </w:rPr>
  </w:style>
  <w:style w:type="paragraph" w:styleId="23">
    <w:name w:val="Body Text First Indent 2"/>
    <w:basedOn w:val="11"/>
    <w:next w:val="22"/>
    <w:autoRedefine/>
    <w:qFormat/>
    <w:uiPriority w:val="0"/>
    <w:pPr>
      <w:spacing w:line="240" w:lineRule="auto"/>
      <w:ind w:left="420" w:leftChars="200" w:firstLine="420" w:firstLineChars="200"/>
    </w:pPr>
    <w:rPr>
      <w:sz w:val="21"/>
    </w:rPr>
  </w:style>
  <w:style w:type="table" w:styleId="25">
    <w:name w:val="Table Grid"/>
    <w:basedOn w:val="2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autoRedefine/>
    <w:qFormat/>
    <w:uiPriority w:val="0"/>
    <w:rPr>
      <w:b/>
      <w:bCs/>
    </w:rPr>
  </w:style>
  <w:style w:type="character" w:styleId="28">
    <w:name w:val="page number"/>
    <w:basedOn w:val="26"/>
    <w:autoRedefine/>
    <w:qFormat/>
    <w:uiPriority w:val="0"/>
  </w:style>
  <w:style w:type="character" w:styleId="29">
    <w:name w:val="FollowedHyperlink"/>
    <w:basedOn w:val="26"/>
    <w:autoRedefine/>
    <w:qFormat/>
    <w:uiPriority w:val="0"/>
    <w:rPr>
      <w:color w:val="000000"/>
      <w:u w:val="none"/>
    </w:rPr>
  </w:style>
  <w:style w:type="character" w:styleId="30">
    <w:name w:val="Emphasis"/>
    <w:basedOn w:val="26"/>
    <w:autoRedefine/>
    <w:qFormat/>
    <w:uiPriority w:val="0"/>
    <w:rPr>
      <w:i/>
      <w:iCs/>
    </w:rPr>
  </w:style>
  <w:style w:type="character" w:styleId="31">
    <w:name w:val="Hyperlink"/>
    <w:autoRedefine/>
    <w:qFormat/>
    <w:uiPriority w:val="99"/>
    <w:rPr>
      <w:color w:val="0000FF"/>
      <w:u w:val="single"/>
    </w:rPr>
  </w:style>
  <w:style w:type="character" w:styleId="32">
    <w:name w:val="HTML Code"/>
    <w:basedOn w:val="26"/>
    <w:autoRedefine/>
    <w:qFormat/>
    <w:uiPriority w:val="0"/>
    <w:rPr>
      <w:rFonts w:ascii="Consolas" w:hAnsi="Consolas" w:eastAsia="Consolas" w:cs="Consolas"/>
      <w:color w:val="DD1144"/>
      <w:sz w:val="12"/>
      <w:szCs w:val="12"/>
      <w:bdr w:val="single" w:color="E1E1E8" w:sz="4" w:space="0"/>
      <w:shd w:val="clear" w:fill="F7F7F9"/>
    </w:rPr>
  </w:style>
  <w:style w:type="character" w:styleId="33">
    <w:name w:val="annotation reference"/>
    <w:basedOn w:val="26"/>
    <w:autoRedefine/>
    <w:qFormat/>
    <w:uiPriority w:val="0"/>
    <w:rPr>
      <w:sz w:val="21"/>
      <w:szCs w:val="21"/>
    </w:rPr>
  </w:style>
  <w:style w:type="character" w:styleId="34">
    <w:name w:val="HTML Cite"/>
    <w:basedOn w:val="26"/>
    <w:autoRedefine/>
    <w:qFormat/>
    <w:uiPriority w:val="0"/>
  </w:style>
  <w:style w:type="paragraph" w:customStyle="1" w:styleId="35">
    <w:name w:val="样式 宋体 五号 行距: 单倍行距"/>
    <w:basedOn w:val="1"/>
    <w:autoRedefine/>
    <w:qFormat/>
    <w:uiPriority w:val="0"/>
    <w:pPr>
      <w:adjustRightInd w:val="0"/>
      <w:jc w:val="left"/>
    </w:pPr>
    <w:rPr>
      <w:rFonts w:ascii="宋体" w:hAnsi="宋体"/>
      <w:kern w:val="0"/>
      <w:sz w:val="21"/>
    </w:rPr>
  </w:style>
  <w:style w:type="paragraph" w:customStyle="1" w:styleId="36">
    <w:name w:val="无间隔1"/>
    <w:autoRedefine/>
    <w:qFormat/>
    <w:uiPriority w:val="1"/>
    <w:pPr>
      <w:jc w:val="both"/>
    </w:pPr>
    <w:rPr>
      <w:rFonts w:ascii="Times New Roman" w:hAnsi="Times New Roman" w:eastAsia="Times New Roman" w:cs="Times New Roman"/>
      <w:lang w:val="en-US" w:eastAsia="zh-CN" w:bidi="ar-SA"/>
    </w:rPr>
  </w:style>
  <w:style w:type="paragraph" w:customStyle="1" w:styleId="37">
    <w:name w:val="目录 53"/>
    <w:next w:val="1"/>
    <w:autoRedefine/>
    <w:qFormat/>
    <w:uiPriority w:val="0"/>
    <w:pPr>
      <w:wordWrap w:val="0"/>
      <w:ind w:left="1275"/>
      <w:jc w:val="both"/>
    </w:pPr>
    <w:rPr>
      <w:rFonts w:ascii="Calibri" w:hAnsi="Calibri" w:eastAsia="宋体" w:cs="Times New Roman"/>
      <w:sz w:val="21"/>
      <w:lang w:val="en-US" w:eastAsia="zh-CN" w:bidi="ar-SA"/>
    </w:rPr>
  </w:style>
  <w:style w:type="paragraph" w:customStyle="1" w:styleId="38">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9">
    <w:name w:val="1"/>
    <w:basedOn w:val="1"/>
    <w:autoRedefine/>
    <w:qFormat/>
    <w:uiPriority w:val="0"/>
    <w:rPr>
      <w:rFonts w:ascii="Tahoma" w:hAnsi="Tahoma"/>
      <w:sz w:val="24"/>
    </w:rPr>
  </w:style>
  <w:style w:type="paragraph" w:customStyle="1" w:styleId="40">
    <w:name w:val="标书正文1"/>
    <w:basedOn w:val="1"/>
    <w:autoRedefine/>
    <w:qFormat/>
    <w:uiPriority w:val="0"/>
    <w:pPr>
      <w:spacing w:line="520" w:lineRule="exact"/>
      <w:ind w:firstLine="640" w:firstLineChars="200"/>
    </w:pPr>
  </w:style>
  <w:style w:type="character" w:customStyle="1" w:styleId="41">
    <w:name w:val="标题 2 字符"/>
    <w:link w:val="3"/>
    <w:autoRedefine/>
    <w:qFormat/>
    <w:uiPriority w:val="0"/>
    <w:rPr>
      <w:rFonts w:ascii="宋体" w:hAnsi="宋体"/>
    </w:rPr>
  </w:style>
  <w:style w:type="character" w:customStyle="1" w:styleId="42">
    <w:name w:val="标题 3 字符"/>
    <w:link w:val="4"/>
    <w:autoRedefine/>
    <w:qFormat/>
    <w:uiPriority w:val="0"/>
    <w:rPr>
      <w:b/>
      <w:sz w:val="44"/>
    </w:rPr>
  </w:style>
  <w:style w:type="character" w:customStyle="1" w:styleId="43">
    <w:name w:val="批注文字 字符"/>
    <w:basedOn w:val="26"/>
    <w:link w:val="8"/>
    <w:autoRedefine/>
    <w:qFormat/>
    <w:uiPriority w:val="0"/>
    <w:rPr>
      <w:rFonts w:ascii="等线" w:hAnsi="等线" w:eastAsia="等线"/>
      <w:kern w:val="2"/>
      <w:sz w:val="21"/>
      <w:szCs w:val="22"/>
    </w:rPr>
  </w:style>
  <w:style w:type="character" w:customStyle="1" w:styleId="44">
    <w:name w:val="批注主题 字符"/>
    <w:basedOn w:val="43"/>
    <w:link w:val="21"/>
    <w:autoRedefine/>
    <w:qFormat/>
    <w:uiPriority w:val="0"/>
    <w:rPr>
      <w:rFonts w:ascii="等线" w:hAnsi="等线" w:eastAsia="等线"/>
      <w:b/>
      <w:bCs/>
      <w:kern w:val="2"/>
      <w:sz w:val="21"/>
      <w:szCs w:val="22"/>
    </w:rPr>
  </w:style>
  <w:style w:type="paragraph" w:customStyle="1" w:styleId="45">
    <w:name w:val="p0"/>
    <w:basedOn w:val="1"/>
    <w:autoRedefine/>
    <w:qFormat/>
    <w:uiPriority w:val="0"/>
    <w:pPr>
      <w:widowControl/>
    </w:pPr>
    <w:rPr>
      <w:kern w:val="0"/>
      <w:sz w:val="20"/>
      <w:szCs w:val="21"/>
    </w:rPr>
  </w:style>
  <w:style w:type="paragraph" w:customStyle="1" w:styleId="46">
    <w:name w:val="图例"/>
    <w:basedOn w:val="1"/>
    <w:autoRedefine/>
    <w:qFormat/>
    <w:uiPriority w:val="99"/>
    <w:pPr>
      <w:spacing w:before="120" w:after="120" w:line="360" w:lineRule="auto"/>
      <w:jc w:val="center"/>
    </w:pPr>
    <w:rPr>
      <w:rFonts w:eastAsia="仿宋_GB2312"/>
      <w:b/>
      <w:sz w:val="24"/>
    </w:rPr>
  </w:style>
  <w:style w:type="paragraph" w:customStyle="1" w:styleId="47">
    <w:name w:val="Heading1"/>
    <w:basedOn w:val="1"/>
    <w:next w:val="1"/>
    <w:autoRedefine/>
    <w:qFormat/>
    <w:uiPriority w:val="0"/>
    <w:pPr>
      <w:keepNext/>
      <w:tabs>
        <w:tab w:val="left" w:pos="3360"/>
      </w:tabs>
      <w:snapToGrid w:val="0"/>
      <w:spacing w:before="312" w:after="156" w:line="800" w:lineRule="atLeast"/>
      <w:jc w:val="center"/>
      <w:textAlignment w:val="baseline"/>
    </w:pPr>
    <w:rPr>
      <w:rFonts w:eastAsia="黑体"/>
      <w:kern w:val="2"/>
      <w:sz w:val="44"/>
      <w:lang w:val="en-US" w:eastAsia="zh-CN" w:bidi="ar-SA"/>
    </w:rPr>
  </w:style>
  <w:style w:type="paragraph" w:customStyle="1" w:styleId="48">
    <w:name w:val="Table Text"/>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49">
    <w:name w:val="正文1"/>
    <w:basedOn w:val="1"/>
    <w:next w:val="1"/>
    <w:autoRedefine/>
    <w:qFormat/>
    <w:uiPriority w:val="0"/>
    <w:pPr>
      <w:spacing w:line="300" w:lineRule="auto"/>
      <w:ind w:firstLine="200" w:firstLineChars="200"/>
    </w:pPr>
    <w:rPr>
      <w:sz w:val="24"/>
    </w:rPr>
  </w:style>
  <w:style w:type="character" w:customStyle="1" w:styleId="50">
    <w:name w:val="active7"/>
    <w:basedOn w:val="26"/>
    <w:autoRedefine/>
    <w:qFormat/>
    <w:uiPriority w:val="0"/>
    <w:rPr>
      <w:color w:val="FFFFFF"/>
      <w:shd w:val="clear" w:fill="E02F23"/>
    </w:rPr>
  </w:style>
  <w:style w:type="paragraph" w:customStyle="1" w:styleId="51">
    <w:name w:val="BodyText"/>
    <w:basedOn w:val="1"/>
    <w:autoRedefine/>
    <w:qFormat/>
    <w:uiPriority w:val="99"/>
    <w:pPr>
      <w:textAlignment w:val="baseline"/>
    </w:pPr>
    <w:rPr>
      <w:rFonts w:ascii="仿宋_GB2312" w:eastAsia="仿宋_GB2312"/>
      <w:sz w:val="32"/>
    </w:rPr>
  </w:style>
  <w:style w:type="character" w:customStyle="1" w:styleId="52">
    <w:name w:val="NormalCharacter"/>
    <w:autoRedefine/>
    <w:qFormat/>
    <w:uiPriority w:val="0"/>
  </w:style>
  <w:style w:type="paragraph" w:customStyle="1" w:styleId="53">
    <w:name w:val="xl40"/>
    <w:basedOn w:val="1"/>
    <w:autoRedefine/>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character" w:customStyle="1" w:styleId="54">
    <w:name w:val="active"/>
    <w:basedOn w:val="26"/>
    <w:autoRedefine/>
    <w:qFormat/>
    <w:uiPriority w:val="0"/>
    <w:rPr>
      <w:color w:val="FFFFFF"/>
      <w:shd w:val="clear" w:fill="E02F23"/>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16858</Words>
  <Characters>17763</Characters>
  <Lines>232</Lines>
  <Paragraphs>65</Paragraphs>
  <TotalTime>13</TotalTime>
  <ScaleCrop>false</ScaleCrop>
  <LinksUpToDate>false</LinksUpToDate>
  <CharactersWithSpaces>19012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2022-06-20T08:39:00Z</dcterms:created>
  <dc:creator>Administrator</dc:creator>
  <cp:lastModifiedBy>孙伟</cp:lastModifiedBy>
  <cp:lastPrinted>2021-07-14T11:22:00Z</cp:lastPrinted>
  <dcterms:modified xsi:type="dcterms:W3CDTF">2026-09-15T07:50:57Z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D9730BB61784426FA1B2ABD48C10A132_13</vt:lpwstr>
  </property>
  <property fmtid="{D5CDD505-2E9C-101B-9397-08002B2CF9AE}" pid="4" name="KSOTemplateDocerSaveRecord">
    <vt:lpwstr>eyJoZGlkIjoiM2EwNWQxNTY2NzI3NGM3NjBhZGJkOGE1OWI1ODhjOGMiLCJ1c2VySWQiOiIxNDM4MDk2NjQzIn0=</vt:lpwstr>
  </property>
</Properties>
</file>